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Einkommen und Mehrbedarf Arbeitsstand</w:t>
      </w:r>
    </w:p>
    <w:p>
      <w:pPr>
        <w:pStyle w:val="Heading2"/>
      </w:pPr>
      <w:r>
        <w:t>1. Einkommen</w:t>
      </w:r>
    </w:p>
    <w:p>
      <w:r>
        <w:t>Rieke: Nettoeinkommen Januar bis Juni zwischen 3.280 EUR und 3.910 EUR; Bonus im März nicht geklärt.</w:t>
      </w:r>
    </w:p>
    <w:p>
      <w:r>
        <w:t>Malte: Privatentnahmen 4.100 EUR monatlich, Praxisgewinn laut BWA deutlich niedriger; AfA und Praxisdarlehen prüfen.</w:t>
      </w:r>
    </w:p>
    <w:p>
      <w:pPr>
        <w:pStyle w:val="Heading2"/>
      </w:pPr>
      <w:r>
        <w:t>2. Mehrbedarf</w:t>
      </w:r>
    </w:p>
    <w:p>
      <w:r>
        <w:t>Musikschule Nora 86 EUR, Hort Jasper 142 EUR, Klassenfahrt 380 EUR, KFO-Zuzahlung voraussichtlich 1.240 EUR.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