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Entwurf nächstes Schreiben</w:t>
      </w:r>
    </w:p>
    <w:p>
      <w:pPr>
        <w:pStyle w:val="Heading2"/>
      </w:pPr>
      <w:r>
        <w:t>1. Betreff und Ziel</w:t>
      </w:r>
    </w:p>
    <w:p>
      <w:r>
        <w:t>Henning ./. Henning - Unterhalt und Betreuung</w:t>
      </w:r>
    </w:p>
    <w:p>
      <w:r>
        <w:t>Der Entwurf hält den Sachverhalt bewusst offen, verlangt Belege nach und wahrt Fristen.</w:t>
      </w:r>
    </w:p>
    <w:p>
      <w:pPr>
        <w:pStyle w:val="Heading2"/>
      </w:pPr>
      <w:r>
        <w:t>2. Forderungen oder Anträge</w:t>
      </w:r>
    </w:p>
    <w:p>
      <w:r>
        <w:t>Auskunft über Gewinnermittlung 2024 bis Juni 2026 verlangen.</w:t>
      </w:r>
    </w:p>
    <w:p>
      <w:r>
        <w:t>Betreuungstage nach Nächten, Ferien und Krankheit getrennt erfassen.</w:t>
      </w:r>
    </w:p>
    <w:p>
      <w:r>
        <w:t>Mehrbedarf in laufend, einmalig und freiwillig trennen.</w:t>
      </w:r>
    </w:p>
    <w:p>
      <w:r>
        <w:t>Frist für Zahlung unter Vorbehalt bis 20.07.2026 setzen.</w:t>
      </w:r>
    </w:p>
    <w:p>
      <w:pPr>
        <w:pStyle w:val="Heading2"/>
      </w:pPr>
      <w:r>
        <w:t>3. Anlagenlogik</w:t>
      </w:r>
    </w:p>
    <w:p>
      <w:r>
        <w:t>Anlagen werden nach Aktenstück und Datum bezeichnet; widersprüchliche Unterlagen bleiben kenntlich.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