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12.09.2012</w:t>
            </w:r>
          </w:p>
        </w:tc>
        <w:tc>
          <w:tcPr>
            <w:tcW w:type="dxa" w:w="2160"/>
          </w:tcPr>
          <w:p>
            <w:r>
              <w:t>Eheschließung</w:t>
            </w:r>
          </w:p>
        </w:tc>
        <w:tc>
          <w:tcPr>
            <w:tcW w:type="dxa" w:w="2160"/>
          </w:tcPr>
          <w:p>
            <w:r>
              <w:t>Familienstammbuch</w:t>
            </w:r>
          </w:p>
        </w:tc>
        <w:tc>
          <w:tcPr>
            <w:tcW w:type="dxa" w:w="2160"/>
          </w:tcPr>
          <w:p>
            <w:r>
              <w:t>unstreitig</w:t>
            </w:r>
          </w:p>
        </w:tc>
      </w:tr>
      <w:tr>
        <w:tc>
          <w:tcPr>
            <w:tcW w:type="dxa" w:w="2160"/>
          </w:tcPr>
          <w:p>
            <w:r>
              <w:t>01.06.2018</w:t>
            </w:r>
          </w:p>
        </w:tc>
        <w:tc>
          <w:tcPr>
            <w:tcW w:type="dxa" w:w="2160"/>
          </w:tcPr>
          <w:p>
            <w:r>
              <w:t>Erbschaft Milena 95.000 EUR</w:t>
            </w:r>
          </w:p>
        </w:tc>
        <w:tc>
          <w:tcPr>
            <w:tcW w:type="dxa" w:w="2160"/>
          </w:tcPr>
          <w:p>
            <w:r>
              <w:t>Erbschein Mutter</w:t>
            </w:r>
          </w:p>
        </w:tc>
        <w:tc>
          <w:tcPr>
            <w:tcW w:type="dxa" w:w="2160"/>
          </w:tcPr>
          <w:p>
            <w:r>
              <w:t>Verwendung streitig</w:t>
            </w:r>
          </w:p>
        </w:tc>
      </w:tr>
      <w:tr>
        <w:tc>
          <w:tcPr>
            <w:tcW w:type="dxa" w:w="2160"/>
          </w:tcPr>
          <w:p>
            <w:r>
              <w:t>15.04.2022</w:t>
            </w:r>
          </w:p>
        </w:tc>
        <w:tc>
          <w:tcPr>
            <w:tcW w:type="dxa" w:w="2160"/>
          </w:tcPr>
          <w:p>
            <w:r>
              <w:t>Kauf Ferienwohnung Bodenmais</w:t>
            </w:r>
          </w:p>
        </w:tc>
        <w:tc>
          <w:tcPr>
            <w:tcW w:type="dxa" w:w="2160"/>
          </w:tcPr>
          <w:p>
            <w:r>
              <w:t>Notarvertrag</w:t>
            </w:r>
          </w:p>
        </w:tc>
        <w:tc>
          <w:tcPr>
            <w:tcW w:type="dxa" w:w="2160"/>
          </w:tcPr>
          <w:p>
            <w:r>
              <w:t>Miteigentum je Hälfte</w:t>
            </w:r>
          </w:p>
        </w:tc>
      </w:tr>
      <w:tr>
        <w:tc>
          <w:tcPr>
            <w:tcW w:type="dxa" w:w="2160"/>
          </w:tcPr>
          <w:p>
            <w:r>
              <w:t>20.12.2025</w:t>
            </w:r>
          </w:p>
        </w:tc>
        <w:tc>
          <w:tcPr>
            <w:tcW w:type="dxa" w:w="2160"/>
          </w:tcPr>
          <w:p>
            <w:r>
              <w:t>Trennung</w:t>
            </w:r>
          </w:p>
        </w:tc>
        <w:tc>
          <w:tcPr>
            <w:tcW w:type="dxa" w:w="2160"/>
          </w:tcPr>
          <w:p>
            <w:r>
              <w:t>Anwaltsschreiben</w:t>
            </w:r>
          </w:p>
        </w:tc>
        <w:tc>
          <w:tcPr>
            <w:tcW w:type="dxa" w:w="2160"/>
          </w:tcPr>
          <w:p>
            <w:r>
              <w:t>Stichtag streitig</w:t>
            </w:r>
          </w:p>
        </w:tc>
      </w:tr>
      <w:tr>
        <w:tc>
          <w:tcPr>
            <w:tcW w:type="dxa" w:w="2160"/>
          </w:tcPr>
          <w:p>
            <w:r>
              <w:t>14.06.2026</w:t>
            </w:r>
          </w:p>
        </w:tc>
        <w:tc>
          <w:tcPr>
            <w:tcW w:type="dxa" w:w="2160"/>
          </w:tcPr>
          <w:p>
            <w:r>
              <w:t>Wallet-Übertragung behauptet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Zuordnung offen</w:t>
            </w:r>
          </w:p>
        </w:tc>
      </w:tr>
    </w:tbl>
    <w:p>
      <w:pPr>
        <w:pStyle w:val="Heading2"/>
      </w:pPr>
      <w:r>
        <w:t>2. Unsaubere Punkte</w:t>
      </w:r>
    </w:p>
    <w:p>
      <w:r>
        <w:t>Milena behauptet, ihr Erbe sei in Eigenkapital und Renovierung der Ferienwohnung geflossen.</w:t>
      </w:r>
    </w:p>
    <w:p>
      <w:r>
        <w:t>Sebastian bestreitet eine Zweckbindung und verweist auf gemeinsame Lebensführung.</w:t>
      </w:r>
    </w:p>
    <w:p>
      <w:r>
        <w:t>Eine Wallet-App zeigt Abgänge im Dezember 2025; die Adressen sind nicht eindeutig Sebastian zuordenbar.</w:t>
      </w:r>
    </w:p>
    <w:p>
      <w:r>
        <w:t>Das Depot wurde im Februar 2026 teilweise liquidiert und zur Sondertilgung verwendet.</w:t>
      </w:r>
    </w:p>
    <w:p>
      <w:r>
        <w:t>Die Praxisbewertung schwankt je nach Methode deutlich.</w:t>
      </w:r>
    </w:p>
    <w:p>
      <w:r>
        <w:t>Eine Haushaltsgegenstände-Liste enthält sowohl Hausrat als auch berufliche Geräte.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