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Sachverhalt aus Mandantensicht</w:t>
      </w:r>
    </w:p>
    <w:p>
      <w:pPr>
        <w:pStyle w:val="Heading2"/>
      </w:pPr>
      <w:r>
        <w:t>1. Erinnerung</w:t>
      </w:r>
    </w:p>
    <w:p>
      <w:r>
        <w:t>Milena behauptet, ihr Erbe sei in Eigenkapital und Renovierung der Ferienwohnung geflossen.</w:t>
      </w:r>
    </w:p>
    <w:p>
      <w:r>
        <w:t>Sebastian bestreitet eine Zweckbindung und verweist auf gemeinsame Lebensführung.</w:t>
      </w:r>
    </w:p>
    <w:p>
      <w:r>
        <w:t>Eine Wallet-App zeigt Abgänge im Dezember 2025; die Adressen sind nicht eindeutig Sebastian zuordenbar.</w:t>
      </w:r>
    </w:p>
    <w:p>
      <w:r>
        <w:t>Das Depot wurde im Februar 2026 teilweise liquidiert und zur Sondertilgung verwendet.</w:t>
      </w:r>
    </w:p>
    <w:p>
      <w:r>
        <w:t>Die Praxisbewertung schwankt je nach Methode deutlich.</w:t>
      </w:r>
    </w:p>
    <w:p>
      <w:r>
        <w:t>Eine Haushaltsgegenstände-Liste enthält sowohl Hausrat als auch berufliche Geräte.</w:t>
      </w:r>
    </w:p>
    <w:p>
      <w:pPr>
        <w:pStyle w:val="Heading2"/>
      </w:pPr>
      <w:r>
        <w:t>2. Streitpunkte</w:t>
      </w:r>
    </w:p>
    <w:p>
      <w:r>
        <w:t>Milena verlangt vollständige Auskunft, Belegvorlage und Sicherung gegen weitere Verfügungen.</w:t>
      </w:r>
    </w:p>
    <w:p>
      <w:r>
        <w:t>Sebastian sieht keine illoyale Vermögensminderung und fordert hälftige Anrechnung der Darlehenslast.</w:t>
      </w:r>
    </w:p>
    <w:p>
      <w:r>
        <w:t>Streit besteht über Stichtage, Bewertung Ferienwohnung, Anfangsvermögen, Praxiswert und digitale Vermögenswerte.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