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Standpunkt der Gegenseite</w:t>
      </w:r>
    </w:p>
    <w:p>
      <w:pPr>
        <w:pStyle w:val="Heading2"/>
      </w:pPr>
      <w:r>
        <w:t>1. Kernaussagen</w:t>
      </w:r>
    </w:p>
    <w:p>
      <w:r>
        <w:t>Milena verlangt vollständige Auskunft, Belegvorlage und Sicherung gegen weitere Verfügungen.</w:t>
      </w:r>
    </w:p>
    <w:p>
      <w:r>
        <w:t>Sebastian sieht keine illoyale Vermögensminderung und fordert hälftige Anrechnung der Darlehenslast.</w:t>
      </w:r>
    </w:p>
    <w:p>
      <w:r>
        <w:t>Streit besteht über Stichtage, Bewertung Ferienwohnung, Anfangsvermögen, Praxiswert und digitale Vermögenswerte.</w:t>
      </w:r>
    </w:p>
    <w:p>
      <w:pPr>
        <w:pStyle w:val="Heading2"/>
      </w:pPr>
      <w:r>
        <w:t>2. Angriffspunkte</w:t>
      </w:r>
    </w:p>
    <w:p>
      <w:r>
        <w:t>Stichtage Anfangs- und Endvermögen fixieren.</w:t>
      </w:r>
    </w:p>
    <w:p>
      <w:r>
        <w:t>Depot- und Wallet-Belege im Originalformat nachfordern.</w:t>
      </w:r>
    </w:p>
    <w:p>
      <w:r>
        <w:t>Ferienwohnung mit Darlehen, Renovierung und Nutzungsvorteil erfassen.</w:t>
      </w:r>
    </w:p>
    <w:p>
      <w:r>
        <w:t>Vergleichsangebot erst nach Plausibilisierung der Wallet-Bewegungen.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