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Notarvertrag Ferienwohnung Bodenmais Auszug</w:t>
      </w:r>
    </w:p>
    <w:p>
      <w:pPr>
        <w:pStyle w:val="Heading2"/>
      </w:pPr>
      <w:r>
        <w:t>1. Kauf und Finanzierung</w:t>
      </w:r>
    </w:p>
    <w:p>
      <w:r>
        <w:t>Kaufpreis 420.000 EUR, Erwerb zu je 1/2, Darlehen Sparkasse 310.000 EUR, Eigenmittel laut Kontoauszug 116.000 EUR. Renovierung 2023 über 58.400 EUR; Rechnungsempfänger teils Sebastian, teils Milena.</w:t>
      </w:r>
    </w:p>
    <w:p>
      <w:pPr>
        <w:pStyle w:val="Heading2"/>
      </w:pPr>
      <w:r>
        <w:t>2. Nutzung</w:t>
      </w:r>
    </w:p>
    <w:p>
      <w:r>
        <w:t>Eigennutzung Ferien, zeitweise Vermietung über Portal; Einnahmen flossen auf gemeinsames Konto.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