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Notiz Steuerberater zu digitalen Vermögenswerten</w:t>
      </w:r>
    </w:p>
    <w:p>
      <w:pPr>
        <w:pStyle w:val="Heading2"/>
      </w:pPr>
      <w:r>
        <w:t>1. Fundlage</w:t>
      </w:r>
    </w:p>
    <w:p>
      <w:r>
        <w:t>In den Unterlagen liegen Screenshots einer Wallet-App und Exportdateien ohne vollständige Signatur. Steuerlich wurden 2024 keine privaten Veräußerungsgeschäfte erklärt.</w:t>
      </w:r>
    </w:p>
    <w:p>
      <w:pPr>
        <w:pStyle w:val="Heading2"/>
      </w:pPr>
      <w:r>
        <w:t>2. Prüfbedarf</w:t>
      </w:r>
    </w:p>
    <w:p>
      <w:r>
        <w:t>Zu klären sind Inhaberschaft, Anschaffungszeitpunkte, Transaktionshashes, Gegenwert am Stichtag und etwaiger Verbrauch für Familienunterhalt.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