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Entwurf nächstes Schreiben</w:t>
      </w:r>
    </w:p>
    <w:p>
      <w:pPr>
        <w:pStyle w:val="Heading2"/>
      </w:pPr>
      <w:r>
        <w:t>1. Betreff und Ziel</w:t>
      </w:r>
    </w:p>
    <w:p>
      <w:r>
        <w:t>Krammer ./. Krammer - Zugewinn und Vermögen</w:t>
      </w:r>
    </w:p>
    <w:p>
      <w:r>
        <w:t>Der Entwurf hält den Sachverhalt bewusst offen, verlangt Belege nach und wahrt Fristen.</w:t>
      </w:r>
    </w:p>
    <w:p>
      <w:pPr>
        <w:pStyle w:val="Heading2"/>
      </w:pPr>
      <w:r>
        <w:t>2. Forderungen oder Anträge</w:t>
      </w:r>
    </w:p>
    <w:p>
      <w:r>
        <w:t>Stichtage Anfangs- und Endvermögen fixieren.</w:t>
      </w:r>
    </w:p>
    <w:p>
      <w:r>
        <w:t>Depot- und Wallet-Belege im Originalformat nachfordern.</w:t>
      </w:r>
    </w:p>
    <w:p>
      <w:r>
        <w:t>Ferienwohnung mit Darlehen, Renovierung und Nutzungsvorteil erfassen.</w:t>
      </w:r>
    </w:p>
    <w:p>
      <w:r>
        <w:t>Vergleichsangebot erst nach Plausibilisierung der Wallet-Bewegungen.</w:t>
      </w:r>
    </w:p>
    <w:p>
      <w:pPr>
        <w:pStyle w:val="Heading2"/>
      </w:pPr>
      <w:r>
        <w:t>3. Anlagenlogik</w:t>
      </w:r>
    </w:p>
    <w:p>
      <w:r>
        <w:t>Anlagen werden nach Aktenstück und Datum bezeichnet; widersprüchliche Unterlagen bleiben kenntlich.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