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Standpunkt der Gegenseite</w:t>
      </w:r>
    </w:p>
    <w:p>
      <w:pPr>
        <w:pStyle w:val="Heading2"/>
      </w:pPr>
      <w:r>
        <w:t>1. Kernaussagen</w:t>
      </w:r>
    </w:p>
    <w:p>
      <w:r>
        <w:t>Händler bietet nur Werksreset an.</w:t>
      </w:r>
    </w:p>
    <w:p>
      <w:r>
        <w:t>Hersteller verlangt kostenpflichtiges Abo oder lehnt Drittanbieterkomponenten ab.</w:t>
      </w:r>
    </w:p>
    <w:p>
      <w:r>
        <w:t>Käuferseite prüft Nacherfüllung, Minderung, Rücktritt, Schadensersatz und Ersatz vergeblicher Aufwendungen.</w:t>
      </w:r>
    </w:p>
    <w:p>
      <w:pPr>
        <w:pStyle w:val="Heading2"/>
      </w:pPr>
      <w:r>
        <w:t>2. Angriffspunkte</w:t>
      </w:r>
    </w:p>
    <w:p>
      <w:r>
        <w:t>Vertragliche Beschaffenheit und Werbung sichern.</w:t>
      </w:r>
    </w:p>
    <w:p>
      <w:r>
        <w:t>Update- und Ausfalltimeline bauen.</w:t>
      </w:r>
    </w:p>
    <w:p>
      <w:r>
        <w:t>Frist zur konkreten Nacherfüllung setzen.</w:t>
      </w:r>
    </w:p>
    <w:p>
      <w:r>
        <w:t>Beweislast und Verjährung im Verbrauchsgüterkauf prüfen.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