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nächstes Schreiben</w:t>
      </w:r>
    </w:p>
    <w:p>
      <w:pPr>
        <w:pStyle w:val="Heading2"/>
      </w:pPr>
      <w:r>
        <w:t>1. Betreff und Ziel</w:t>
      </w:r>
    </w:p>
    <w:p>
      <w:r>
        <w:t>Kaufrecht — Pflegebett, Sensorik und Cloud-Abo in Nürnberg</w:t>
      </w:r>
    </w:p>
    <w:p>
      <w:r>
        <w:t>Der Entwurf hält den Sachverhalt bewusst offen, verlangt Belege nach und wahrt Fristen.</w:t>
      </w:r>
    </w:p>
    <w:p>
      <w:pPr>
        <w:pStyle w:val="Heading2"/>
      </w:pPr>
      <w:r>
        <w:t>2. Forderungen oder Anträge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p>
      <w:pPr>
        <w:pStyle w:val="Heading2"/>
      </w:pPr>
      <w:r>
        <w:t>3. Anlagenlogik</w:t>
      </w:r>
    </w:p>
    <w:p>
      <w:r>
        <w:t>Anlagen werden nach Aktenstück und Datum bezeichnet; widersprüchliche Unterlagen bleiben kenntlich.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