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Sachverhalt aus Mandantensicht</w:t>
      </w:r>
    </w:p>
    <w:p>
      <w:pPr>
        <w:pStyle w:val="Heading2"/>
      </w:pPr>
      <w:r>
        <w:t>1. Erinnerung</w:t>
      </w:r>
    </w:p>
    <w:p>
      <w:r>
        <w:t>Gegenstand ist MediPulse Watch S3.</w:t>
      </w:r>
    </w:p>
    <w:p>
      <w:r>
        <w:t>EKG-Funktion und Sturzerkennung nach Update instabil.</w:t>
      </w:r>
    </w:p>
    <w:p>
      <w:r>
        <w:t>Werbung und Produktblatt betonen dauerhafte App-Funktionen und einfache Reparierbarkeit.</w:t>
      </w:r>
    </w:p>
    <w:p>
      <w:r>
        <w:t>Der Händler behandelt den digitalen Anteil als freiwillige Zusatzleistung.</w:t>
      </w:r>
    </w:p>
    <w:p>
      <w:r>
        <w:t>Die Käuferseite dokumentiert Ausfälle mit Logs, Screenshots und Nutzungsprotokoll.</w:t>
      </w:r>
    </w:p>
    <w:p>
      <w:r>
        <w:t>Ein unabhängiger Dienstleister sieht ohne Herstellerzugang keine vollständige Diagnosemöglichkeit.</w:t>
      </w:r>
    </w:p>
    <w:p>
      <w:pPr>
        <w:pStyle w:val="Heading2"/>
      </w:pPr>
      <w:r>
        <w:t>2. Streitpunkte</w:t>
      </w:r>
    </w:p>
    <w:p>
      <w:r>
        <w:t>Händler bietet nur Werksreset an.</w:t>
      </w:r>
    </w:p>
    <w:p>
      <w:r>
        <w:t>Hersteller verlangt kostenpflichtiges Abo oder lehnt Drittanbieterkomponenten ab.</w:t>
      </w:r>
    </w:p>
    <w:p>
      <w:r>
        <w:t>Käuferseite prüft Nacherfüllung, Minderung, Rücktritt, Schadensersatz und Ersatz vergeblicher Aufwendungen.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