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Servicebericht Technik</w:t>
      </w:r>
    </w:p>
    <w:p>
      <w:pPr>
        <w:pStyle w:val="Heading2"/>
      </w:pPr>
      <w:r>
        <w:t>1. Prüfung vor Ort</w:t>
      </w:r>
    </w:p>
    <w:p>
      <w:r>
        <w:t>Der Servicebetrieb bestätigt: EKG-Funktion und Sturzerkennung nach Update instabil. Hardware zeigt keine eindeutige Beschädigung.</w:t>
      </w:r>
    </w:p>
    <w:p>
      <w:pPr>
        <w:pStyle w:val="Heading2"/>
      </w:pPr>
      <w:r>
        <w:t>2. Einschränkung</w:t>
      </w:r>
    </w:p>
    <w:p>
      <w:r>
        <w:t>Diagnose-Token, Serverlog oder Herstellerkonto wurden nicht bereitgestellt. Vollständige Ursachenklärung bleibt offen.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