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Entwurf nächstes Schreiben</w:t>
      </w:r>
    </w:p>
    <w:p>
      <w:pPr>
        <w:pStyle w:val="Heading2"/>
      </w:pPr>
      <w:r>
        <w:t>1. Betreff und Ziel</w:t>
      </w:r>
    </w:p>
    <w:p>
      <w:r>
        <w:t>Kaufrecht — Smartwatch, Gesundheitsabo und Updatefehler in Hannover</w:t>
      </w:r>
    </w:p>
    <w:p>
      <w:r>
        <w:t>Der Entwurf hält den Sachverhalt bewusst offen, verlangt Belege nach und wahrt Fristen.</w:t>
      </w:r>
    </w:p>
    <w:p>
      <w:pPr>
        <w:pStyle w:val="Heading2"/>
      </w:pPr>
      <w:r>
        <w:t>2. Forderungen oder Anträge</w:t>
      </w:r>
    </w:p>
    <w:p>
      <w:r>
        <w:t>Vertragliche Beschaffenheit und Werbung sichern.</w:t>
      </w:r>
    </w:p>
    <w:p>
      <w:r>
        <w:t>Update- und Ausfalltimeline bauen.</w:t>
      </w:r>
    </w:p>
    <w:p>
      <w:r>
        <w:t>Frist zur konkreten Nacherfüllung setzen.</w:t>
      </w:r>
    </w:p>
    <w:p>
      <w:r>
        <w:t>Beweislast und Verjährung im Verbrauchsgüterkauf prüfen.</w:t>
      </w:r>
    </w:p>
    <w:p>
      <w:pPr>
        <w:pStyle w:val="Heading2"/>
      </w:pPr>
      <w:r>
        <w:t>3. Anlagenlogik</w:t>
      </w:r>
    </w:p>
    <w:p>
      <w:r>
        <w:t>Anlagen werden nach Aktenstück und Datum bezeichnet; widersprüchliche Unterlagen bleiben kenntlich.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