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Mandatsnotiz Erstgespräch</w:t>
      </w:r>
    </w:p>
    <w:p>
      <w:pPr>
        <w:pStyle w:val="Heading2"/>
      </w:pPr>
      <w:r>
        <w:t>1. Ausgangspunkt</w:t>
      </w:r>
    </w:p>
    <w:p>
      <w:r>
        <w:t>Gegenstand ist HelioCharge W7 Wallbox.</w:t>
      </w:r>
    </w:p>
    <w:p>
      <w:r>
        <w:t>Firmware 4.8 blockiert Lastmanagement und verweigert Drittanbieterzähler.</w:t>
      </w:r>
    </w:p>
    <w:p>
      <w:r>
        <w:t>Werbung und Produktblatt betonen dauerhafte App-Funktionen und einfache Reparierbarkeit.</w:t>
      </w:r>
    </w:p>
    <w:p>
      <w:pPr>
        <w:pStyle w:val="Heading2"/>
      </w:pPr>
      <w:r>
        <w:t>2. Ziele und Dringlichkeit</w:t>
      </w:r>
    </w:p>
    <w:p>
      <w:r>
        <w:t>Händler bietet nur Werksreset an.</w:t>
      </w:r>
    </w:p>
    <w:p>
      <w:r>
        <w:t>Hersteller verlangt kostenpflichtiges Abo oder lehnt Drittanbieterkomponenten ab.</w:t>
      </w:r>
    </w:p>
    <w:p>
      <w:r>
        <w:t>Käuferseite prüft Nacherfüllung, Minderung, Rücktritt, Schadensersatz und Ersatz vergeblicher Aufwendungen.</w:t>
      </w:r>
    </w:p>
    <w:p>
      <w:pPr>
        <w:pStyle w:val="Heading2"/>
      </w:pPr>
      <w:r>
        <w:t>3. Offene Unterlagen</w:t>
      </w:r>
    </w:p>
    <w:p>
      <w:r>
        <w:t>Vertragliche Beschaffenheit und Werbung sichern.</w:t>
      </w:r>
    </w:p>
    <w:p>
      <w:r>
        <w:t>Update- und Ausfalltimeline bauen.</w:t>
      </w:r>
    </w:p>
    <w:p>
      <w:r>
        <w:t>Frist zur konkreten Nacherfüllung setzen.</w:t>
      </w:r>
    </w:p>
    <w:p>
      <w:r>
        <w:t>Beweislast und Verjährung im Verbrauchsgüterkauf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