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Sachverhalt aus Mandantensicht</w:t>
      </w:r>
    </w:p>
    <w:p>
      <w:pPr>
        <w:pStyle w:val="Heading2"/>
      </w:pPr>
      <w:r>
        <w:t>1. Erinnerung</w:t>
      </w:r>
    </w:p>
    <w:p>
      <w:r>
        <w:t>Gegenstand ist HelioCharge W7 Wallbox.</w:t>
      </w:r>
    </w:p>
    <w:p>
      <w:r>
        <w:t>Firmware 4.8 blockiert Lastmanagement und verweigert Drittanbieterzähler.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p>
      <w:pPr>
        <w:pStyle w:val="Heading2"/>
      </w:pPr>
      <w:r>
        <w:t>2. Streitpunkte</w:t>
      </w:r>
    </w:p>
    <w:p>
      <w:r>
        <w:t>Händler bietet nur Werksreset an.</w:t>
      </w:r>
    </w:p>
    <w:p>
      <w:r>
        <w:t>Hersteller verlangt kostenpflichtiges Abo oder lehnt Drittanbieterkomponenten ab.</w:t>
      </w:r>
    </w:p>
    <w:p>
      <w:r>
        <w:t>Käuferseite prüft Nacherfüllung, Minderung, Rücktritt, Schadensersatz und Ersatz vergeblicher Aufwendungen.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