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Produktblatt und Werbeaussagen</w:t>
      </w:r>
    </w:p>
    <w:p>
      <w:pPr>
        <w:pStyle w:val="Heading2"/>
      </w:pPr>
      <w:r>
        <w:t>1. Leistungsversprechen</w:t>
      </w:r>
    </w:p>
    <w:p>
      <w:r>
        <w:t>Das Produktblatt bewirbt HelioCharge W7 Wallbox als langfristig updatefähig, appgestützt und sicherheitsrelevant. Die Aussagen sind nicht als reine Kulanz formuliert.</w:t>
      </w:r>
    </w:p>
    <w:p>
      <w:pPr>
        <w:pStyle w:val="Heading2"/>
      </w:pPr>
      <w:r>
        <w:t>2. Kleingedrucktes</w:t>
      </w:r>
    </w:p>
    <w:p>
      <w:r>
        <w:t>AGB verweisen auf verfügbare Cloud-Dienste, ohne Laufzeit und Mindestupdatezeitraum klar zu benennen.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