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Mandatsnotiz Erstgespräch</w:t>
      </w:r>
    </w:p>
    <w:p>
      <w:pPr>
        <w:pStyle w:val="Heading2"/>
      </w:pPr>
      <w:r>
        <w:t>1. Ausgangspunkt</w:t>
      </w:r>
    </w:p>
    <w:p>
      <w:r>
        <w:t>Die Redaktion hat nur Teile der Anklage und eine Terminmitteilung.</w:t>
      </w:r>
    </w:p>
    <w:p>
      <w:r>
        <w:t>Das Unternehmen war börsennah finanziert, aber nicht börsennotiert.</w:t>
      </w:r>
    </w:p>
    <w:p>
      <w:r>
        <w:t>Der Name der früheren Finanzvorständin ist aus früheren Presseartikeln öffentlich bekannt.</w:t>
      </w:r>
    </w:p>
    <w:p>
      <w:pPr>
        <w:pStyle w:val="Heading2"/>
      </w:pPr>
      <w:r>
        <w:t>2. Ziele und Dringlichkeit</w:t>
      </w:r>
    </w:p>
    <w:p>
      <w:r>
        <w:t>Redaktion will den Namen nennen und Foto verwenden.</w:t>
      </w:r>
    </w:p>
    <w:p>
      <w:r>
        <w:t>Verteidigung verlangt Anonymisierung und vollständige Wiedergabe der Stellungnahme.</w:t>
      </w:r>
    </w:p>
    <w:p>
      <w:r>
        <w:t>Unternehmen will den Bericht auf Vergabesperre und Finanzierungsauswirkungen begrenzen.</w:t>
      </w:r>
    </w:p>
    <w:p>
      <w:pPr>
        <w:pStyle w:val="Heading2"/>
      </w:pPr>
      <w:r>
        <w:t>3. Offene Unterlagen</w:t>
      </w:r>
    </w:p>
    <w:p>
      <w:r>
        <w:t>Tatsachen, Verdacht und Bewertung optisch trennen.</w:t>
      </w:r>
    </w:p>
    <w:p>
      <w:r>
        <w:t>Stellungnahme vollständig anfragen und Kern fair wiedergeben.</w:t>
      </w:r>
    </w:p>
    <w:p>
      <w:r>
        <w:t>Bildrechte und identifizierende Details gesondert prüfen.</w:t>
      </w:r>
    </w:p>
    <w:p>
      <w:r>
        <w:t>Korrektur- und Gegendarstellungsreserve vor Veröffentlichung anlegen.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