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Synopse Stellungnahmen</w:t>
      </w:r>
    </w:p>
    <w:p>
      <w:pPr>
        <w:pStyle w:val="Heading2"/>
      </w:pPr>
      <w:r>
        <w:t>1. Unternehmen</w:t>
      </w:r>
    </w:p>
    <w:p>
      <w:r>
        <w:t>Hafenstadt Projektbau AG bestreitet systematische Bilanzmanipulation und verweist auf externe Gutachten.</w:t>
      </w:r>
    </w:p>
    <w:p>
      <w:pPr>
        <w:pStyle w:val="Heading2"/>
      </w:pPr>
      <w:r>
        <w:t>2. Verteidigung</w:t>
      </w:r>
    </w:p>
    <w:p>
      <w:r>
        <w:t>Dr. Kurth lässt erklären, sie habe sich auf Fachabteilungen und Abschlussprüfer verlassen; ein persönlicher Vorteil sei nicht ersichtlich.</w:t>
      </w:r>
    </w:p>
    <w:p>
      <w:pPr>
        <w:pStyle w:val="Heading2"/>
      </w:pPr>
      <w:r>
        <w:t>3. Staatsanwaltschaft</w:t>
      </w:r>
    </w:p>
    <w:p>
      <w:r>
        <w:t>Die Pressemitteilung spricht von einem hinreichenden Tatverdacht; eine Schuld steht nicht fest.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