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Entwurf nächstes Schreiben</w:t>
      </w:r>
    </w:p>
    <w:p>
      <w:pPr>
        <w:pStyle w:val="Heading2"/>
      </w:pPr>
      <w:r>
        <w:t>1. Betreff und Ziel</w:t>
      </w:r>
    </w:p>
    <w:p>
      <w:r>
        <w:t>Redaktionsakte Hafenstadt Projektbau</w:t>
      </w:r>
    </w:p>
    <w:p>
      <w:r>
        <w:t>Der Entwurf hält den Sachverhalt bewusst offen, verlangt Belege nach und wahrt Fristen.</w:t>
      </w:r>
    </w:p>
    <w:p>
      <w:pPr>
        <w:pStyle w:val="Heading2"/>
      </w:pPr>
      <w:r>
        <w:t>2. Forderungen oder Anträge</w:t>
      </w:r>
    </w:p>
    <w:p>
      <w:r>
        <w:t>Tatsachen, Verdacht und Bewertung optisch trennen.</w:t>
      </w:r>
    </w:p>
    <w:p>
      <w:r>
        <w:t>Stellungnahme vollständig anfragen und Kern fair wiedergeben.</w:t>
      </w:r>
    </w:p>
    <w:p>
      <w:r>
        <w:t>Bildrechte und identifizierende Details gesondert prüfen.</w:t>
      </w:r>
    </w:p>
    <w:p>
      <w:r>
        <w:t>Korrektur- und Gegendarstellungsreserve vor Veröffentlichung anlegen.</w:t>
      </w:r>
    </w:p>
    <w:p>
      <w:pPr>
        <w:pStyle w:val="Heading2"/>
      </w:pPr>
      <w:r>
        <w:t>3. Anlagenlogik</w:t>
      </w:r>
    </w:p>
    <w:p>
      <w:r>
        <w:t>Anlagen werden nach Aktenstück und Datum bezeichnet; widersprüchliche Unterlagen bleiben kenntlich.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