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Massekostenkalkulation</w:t>
      </w:r>
    </w:p>
    <w:p>
      <w:r>
        <w:t>Verguetung Insolvenzverwalter (§ 63 InsO, Regelverguetung nach InsVV): 38.400,00 EUR.</w:t>
      </w:r>
    </w:p>
    <w:p>
      <w:r>
        <w:t>Gerichtskosten: 4.200,00 EUR. Kosten der Wirtschaftspruefung (Bilanzanalyse): 6.800,00 EUR. Sonstige Massekosten (Lagerraeumung, Inventur, Rechtsanwaltskosten Anfechtungsverfahren): 22.400,00 EUR.</w:t>
      </w:r>
    </w:p>
    <w:p>
      <w:r>
        <w:t>Summe Massekosten: 71.800,00 EUR, zu entnehmen vorrangig aus der Insolvenzmasse gemaess § 53 InsO.</w:t>
      </w:r>
    </w:p>
    <w:p/>
    <w:p>
      <w:r>
        <w:t>Dr. Jens-Peter Hartmann, Kiel, Stand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