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Schlussbericht des Insolvenzverwalters</w:t>
      </w:r>
    </w:p>
    <w:p>
      <w:r>
        <w:t>Nach elfjaehriger Verfahrensdauer legt der Insolvenzverwalter folgenden Schlussbericht vor.</w:t>
      </w:r>
    </w:p>
    <w:p>
      <w:r>
        <w:t>Die Betriebsfortfuehrung bis 31.08.2013 ermoeglichte einen geordneten Abverkauf der Saisonware. Die Anfechtungsprozesse gegen die Kieler Volksbank eG (Vergleich 62.000 EUR) und die Haftungsklage gegen Stefan Berger (Vergleich mit Ratenzahlung) haben die Masse wesentlich erhoeht.</w:t>
      </w:r>
    </w:p>
    <w:p>
      <w:r>
        <w:t>Endgueltiger Massebestand: 120.462,00 EUR. Die festgestellten Forderungen belaufen sich auf rund 510.200,00 EUR, sodass sich eine Quote von rund 13,5 % ergibt.</w:t>
      </w:r>
    </w:p>
    <w:p>
      <w:r>
        <w:t>Der Bericht wird dem Amtsgericht Kiel zur Vorbereitung des Schlusstermins vorgelegt.</w:t>
      </w:r>
    </w:p>
    <w:p/>
    <w:p>
      <w:r>
        <w:t>Dr. Jens-Peter Hartmann, Kiel, 15.03.2024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