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Schlussverzeichnis der Insolvenzgläubiger</w:t>
      </w:r>
    </w:p>
    <w:p>
      <w:r>
        <w:t>Das Schlussverzeichnis weist alle festgestellten Forderungen mit Quotenberechnung aus.</w:t>
      </w:r>
    </w:p>
    <w:p>
      <w:r>
        <w:t>Kieler Volksbank eG: Forderung 248.500,00 EUR, Quote 13,5 %, Auszahlung 33.547,50 EUR.</w:t>
      </w:r>
    </w:p>
    <w:p>
      <w:r>
        <w:t>Fashion Forward KG: Forderung 42.380,00 EUR, Quote 13,5 %, Auszahlung 5.721,30 EUR.</w:t>
      </w:r>
    </w:p>
    <w:p>
      <w:r>
        <w:t>DAK-Gesundheit: Forderung 14.540,00 EUR (nach Vergleich), Quote 13,5 %, Auszahlung 1.962,90 EUR.</w:t>
      </w:r>
    </w:p>
    <w:p>
      <w:r>
        <w:t>IKK Nord: Forderung 10.350,00 EUR (nach Vergleich), Quote 13,5 %, Auszahlung 1.397,25 EUR.</w:t>
      </w:r>
    </w:p>
    <w:p>
      <w:r>
        <w:t>Diverse Warenlieferanten: Forderungen zwischen 1.200,00 EUR und 34.200,00 EUR, jeweils Quote 13,5 %.</w:t>
      </w:r>
    </w:p>
    <w:p/>
    <w:p>
      <w:r>
        <w:t>Dr. Jens-Peter Hartmann, Kiel, 20.03.2024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