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Flughafen Dortmund GmbH, Rechtsabteilung</w:t>
      </w:r>
    </w:p>
    <w:p>
      <w:pPr>
        <w:pStyle w:val="Heading1"/>
      </w:pPr>
      <w:r>
        <w:t>Aktenvermerk: Anwendung des Zuruckbehaltungs-/Pfandrechts gemaess § 20 LuftVG</w:t>
      </w:r>
    </w:p>
    <w:p>
      <w:r>
        <w:t>Verfasserin: Dr. Annegret Wessels, Justiziarin Flughafen Dortmund GmbH. Datum: 10.11.2025.</w:t>
      </w:r>
    </w:p>
    <w:p>
      <w:r>
        <w:t>Gemaess § 20 LuftVG steht dem Halter eines Flugplatzes wegen der Entgelte fuer die Benutzung des Flugplatzes ein Pfandrecht an dem Luftfahrzeug zu, das dem Pfandrecht des Vermieters nach den Vorschriften des Buergerlichen Gesetzbuches gleichsteht. Das Pfandrecht entsteht kraft Gesetzes (ex lege) und bedarf keiner Eintragung.</w:t>
      </w:r>
    </w:p>
    <w:p>
      <w:r>
        <w:t>Vorliegend steht das Luftfahrzeug D-AWRB seit dem 08.10.2025 (Grounding wegen technischer Beanstandung durch das LBA sowie fehlender Betriebsmittel) auf dem Vorfeld C, Stellplatz 14, des Flughafens Dortmund.</w:t>
      </w:r>
    </w:p>
    <w:p>
      <w:r>
        <w:t>Zu klaeren ist das Verhaeltnis des gesetzlichen Pfandrechts nach § 20 LuftVG zu den Rechten der Airbus Financial Services aus dem Kaufleasingvertrag sowie zur Insolvenzeroeffnung ueber das Vermoegen der Halterin.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