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Kanzlei Dr. Kaltenborn - interner Vermerk</w:t>
      </w:r>
    </w:p>
    <w:p>
      <w:pPr>
        <w:pStyle w:val="Heading1"/>
      </w:pPr>
      <w:r>
        <w:t>Kollisionspruefung: Aussonderungsrecht Leasinggeberin vs. Pfandrecht Flughafen gemaess § 20 LuftVG</w:t>
      </w:r>
    </w:p>
    <w:p>
      <w:r>
        <w:t>Verfasser: RA Dr. Henning Kaltenborn, Insolvenzverwalter. Datum: 25.11.2025.</w:t>
      </w:r>
    </w:p>
    <w:p>
      <w:pPr>
        <w:pStyle w:val="Heading2"/>
      </w:pPr>
      <w:r>
        <w:t>Ausgangslage</w:t>
      </w:r>
    </w:p>
    <w:p>
      <w:r>
        <w:t>Zwei konkurrierende dingliche Positionen am Luftfahrzeug D-AWRB: (1) Eigentum/Aussonderungsrecht der Airbus Financial Services aus dem Kaufleasingvertrag gemaess § 47 InsO, (2) gesetzliches Pfandrecht des Flughafens Dortmund gemaess § 20 LuftVG fuer offene Flughafenentgelte, das als Absonderungsrecht gemaess § 50 Abs. 1 InsO analog dem vermieterlichen Pfandrecht zu behandeln ist.</w:t>
      </w:r>
    </w:p>
    <w:p>
      <w:pPr>
        <w:pStyle w:val="Heading2"/>
      </w:pPr>
      <w:r>
        <w:t>Rechtliche Einordnung</w:t>
      </w:r>
    </w:p>
    <w:p>
      <w:r>
        <w:t>Das Pfandrecht des Flughafens nach § 20 LuftVG entsteht unabhaengig von den Eigentumsverhaeltnissen am Luftfahrzeug und geht insoweit dem schuldrechtlichen Herausgabeanspruch der Leasinggeberin im Rang vor, als es sich auf die Zeit vor Rueckgabe bezieht. Es begruendet jedoch kein Recht, das Aussonderungsrecht der Eigentuemerin insgesamt zu verdraengen; vielmehr ist die Herausgabe gemaess § 50 InsO nur gegen Befriedigung des Pfandglaeubigers oder Sicherheitsleistung zu erwarten.</w:t>
      </w:r>
    </w:p>
    <w:p>
      <w:pPr>
        <w:pStyle w:val="Heading2"/>
      </w:pPr>
      <w:r>
        <w:t>Zwischenergebnis</w:t>
      </w:r>
    </w:p>
    <w:p>
      <w:r>
        <w:t>Eine Herausgabe des Luftfahrzeugs an die Airbus Financial Services kommt nur Zug um Zug gegen Ausgleich der offenen Flughafenentgelte in Betracht, sofern der Flughafen sein Pfandrecht nicht freiwillig aufgibt.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