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Airbus Financial Services (Dublin) Designated Activity Company ./. Flughafen Dortmund GmbH u.a. - Az. 3-08 O 66/26 LG Frankfurt am Main</w:t>
      </w:r>
    </w:p>
    <w:p>
      <w:pPr>
        <w:pStyle w:val="Heading1"/>
      </w:pPr>
      <w:r>
        <w:t>Klageschrift auf Herausgabe (Aussonderung) - Airbus Financial Services ./. Flughafen Dortmund GmbH</w:t>
      </w:r>
    </w:p>
    <w:p>
      <w:r>
        <w:t>An das Landgericht Frankfurt am Main, Zivilkammer. Eingereicht durch Rechtsanwaelte Merten &amp; Cohnen, Frankfurt am Main, fuer die Airbus Financial Services (Dublin) DAC.</w:t>
      </w:r>
    </w:p>
    <w:p>
      <w:pPr>
        <w:pStyle w:val="Heading2"/>
      </w:pPr>
      <w:r>
        <w:t>Klageantrag</w:t>
      </w:r>
    </w:p>
    <w:p>
      <w:r>
        <w:t>1. Die Beklagte wird verurteilt, das Luftfahrzeug Airbus A320-214, MSN 6217, Kennzeichen D-AWRB, derzeit Vorfeld C, Stellplatz 14, Flughafen Dortmund, an die Klaegerin herauszugeben.</w:t>
      </w:r>
    </w:p>
    <w:p>
      <w:r>
        <w:t>2. Hilfsweise: Herausgabe Zug um Zug gegen Zahlung von EUR 35.762,40 (offene Landeentgelte und Standgebuehren gemaess Rechnung vom 05.11.2025).</w:t>
      </w:r>
    </w:p>
    <w:p>
      <w:pPr>
        <w:pStyle w:val="Heading2"/>
      </w:pPr>
      <w:r>
        <w:t>Begruendung (Auszug)</w:t>
      </w:r>
    </w:p>
    <w:p>
      <w:r>
        <w:t>Die Klaegerin ist gemaess Kaufleasingvertrag vom 02.03.2016 zivilrechtliche Eigentuemerin des Luftfahrzeugs und nach wirksamer Kuendigung des Leasingvertrags vom 20.11.2025 zur Herausgabe berechtigt. Ein etwaiges Pfandrecht der Beklagten aus § 20 LuftVG rechtfertigt allenfalls ein Zurueckbehaltungsrecht, nicht jedoch eine dauerhafte Verweigerung der Herausgabe.</w:t>
      </w:r>
    </w:p>
    <w:p>
      <w:r>
        <w:t>Frankfurt am Main, den 02.12.2025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