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Flughafen Dortmund GmbH ./. Airbus Financial Services</w:t>
      </w:r>
    </w:p>
    <w:p>
      <w:pPr>
        <w:pStyle w:val="Heading1"/>
      </w:pPr>
      <w:r>
        <w:t>Klageerwiderung</w:t>
      </w:r>
    </w:p>
    <w:p>
      <w:r>
        <w:t>Eingereicht durch Rechtsanwaeltin Dr. Annegret Wessels fuer die Flughafen Dortmund GmbH.</w:t>
      </w:r>
    </w:p>
    <w:p>
      <w:pPr>
        <w:pStyle w:val="Heading2"/>
      </w:pPr>
      <w:r>
        <w:t>Antrag</w:t>
      </w:r>
    </w:p>
    <w:p>
      <w:r>
        <w:t>Die Klage wird abgewiesen, hilfsweise: Herausgabe nur Zug um Zug gegen vollstaendigen Ausgleich saemtlicher bis zur Herausgabe entstandener Flughafenentgelte einschliesslich der bis zum Zeitpunkt der tatsaechlichen Abholung weiter auflaufenden Standgebuehren.</w:t>
      </w:r>
    </w:p>
    <w:p>
      <w:pPr>
        <w:pStyle w:val="Heading2"/>
      </w:pPr>
      <w:r>
        <w:t>Begruendung</w:t>
      </w:r>
    </w:p>
    <w:p>
      <w:r>
        <w:t>Der Beklagten steht ein gesetzliches Pfandrecht gemaess § 20 LuftVG an dem Luftfahrzeug zu, das unabhaengig von den vertraglichen Beziehungen zwischen Klaegerin und Insolvenzschuldnerin besteht. Die Beklagte hat ein berechtigtes Interesse, das Luftfahrzeug erst nach vollstaendiger Zahlung freizugeben, da eine Vollstreckung gegen die insolvente Halterin aussichtslos erscheint.</w:t>
      </w:r>
    </w:p>
    <w:p>
      <w:r>
        <w:t>Dortmund, den 20.12.2025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