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Landgericht Frankfurt am Main</w:t>
      </w:r>
    </w:p>
    <w:p>
      <w:pPr>
        <w:pStyle w:val="Heading1"/>
      </w:pPr>
      <w:r>
        <w:t>Beschluss (Zwischenvergleich/Freigabebeschluss)</w:t>
      </w:r>
    </w:p>
    <w:p>
      <w:r>
        <w:t>Az. 3-08 O 66/26</w:t>
      </w:r>
    </w:p>
    <w:p>
      <w:r>
        <w:t>Im Termin zur muendlichen Verhandlung vom 15.01.2026 einigen sich die Parteien auf folgenden gerichtlichen Vergleich: Die Beklagte gibt das Luftfahrzeug D-AWRB Zug um Zug gegen Zahlung von EUR 29.008,00 (reduzierter Betrag nach Verrechnung mit Wartungsleistungen) durch die Klaegerin frei. Die Kosten des Rechtsstreits werden gegeneinander aufgehoben.</w:t>
      </w:r>
    </w:p>
    <w:p>
      <w:r>
        <w:t>Frankfurt am Main, den 15.01.2026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