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18"/>
        </w:rPr>
        <w:t>BioMetrik Jena GmbH i.E.V. | Lindenhof und Partner mbB | Az. AG Jena 555 IN 132/26</w:t>
      </w:r>
    </w:p>
    <w:p>
      <w:pPr>
        <w:pStyle w:val="Heading1"/>
      </w:pPr>
      <w:r>
        <w:t>Antrag auf Eigenverwaltung im Schutzschirmverfahren gemaess Paragraf 270d InsO</w:t>
      </w:r>
    </w:p>
    <w:p>
      <w:r>
        <w:t>An das Amtsgericht Jena, Insolvenzabteilung</w:t>
      </w:r>
    </w:p>
    <w:p>
      <w:r>
        <w:t>In dem Insolvenzeroeffnungsverfahren der BioMetrik Jena GmbH, vertreten durch die Geschaeftsfuehrerin Dr. Elisa Frantzen, beantragen wir:</w:t>
      </w:r>
    </w:p>
    <w:p>
      <w:r>
        <w:t>1. Die Eroeffnung des Insolvenzverfahrens ueber das Vermoegen der BioMetrik Jena GmbH wegen drohender Zahlungsunfaehigkeit (§ 18 InsO) und Ueberschuldung (§ 19 InsO).</w:t>
      </w:r>
    </w:p>
    <w:p>
      <w:r>
        <w:t>2. Die Anordnung der vorlaeufigen Eigenverwaltung gemaess § 270a InsO.</w:t>
      </w:r>
    </w:p>
    <w:p>
      <w:r>
        <w:t>3. Die Bestimmung einer Frist zur Vorlage eines Insolvenzplans von nicht mehr als drei Monaten gemaess § 270d Abs. 1 InsO.</w:t>
      </w:r>
    </w:p>
    <w:p>
      <w:r>
        <w:t>4. Die vorlaeufige Bestellung eines Sachwalters.</w:t>
      </w:r>
    </w:p>
    <w:p>
      <w:r>
        <w:t>Der Antrag stuetzt sich auf die beigefuegte Bescheinigung einer in Insolvenzsachen erfahrenen Person nach § 270d Abs. 1 Satz 1 InsO, wonach die angestrebte Sanierung nicht offensichtlich aussichtslos ist.</w:t>
      </w:r>
    </w:p>
    <w:p>
      <w:r>
        <w:t>Anlagen: Bescheinigung § 270d InsO, 13-Wochen-Liquiditaetsplan, Sanierungsgutachten IDW S6, Jahresabschluesse 2024/2025, Handelsregisterauszug.</w:t>
      </w:r>
    </w:p>
    <w:p/>
    <w:p>
      <w:r>
        <w:t>Lindenhof und Partner mbB, RA Dr. Fabian Sandhof, Jena, 03.07.2026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