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Anzeigepflichten des vorlaeufigen Sachwalters</w:t>
      </w:r>
    </w:p>
    <w:p>
      <w:r>
        <w:t>Herr RA Dr. Jonas Wehnert wurde mit Beschluss vom 06.07.2026 zum vorlaeufigen Sachwalter der BioMetrik Jena GmbH bestellt.</w:t>
      </w:r>
    </w:p>
    <w:p>
      <w:r>
        <w:t>Der Sachwalter weist die Geschaeftsfuehrung auf folgende Anzeigepflichten hin:</w:t>
      </w:r>
    </w:p>
    <w:p>
      <w:r>
        <w:t>1. Jede Zahlung ueber 10.000 EUR ist vorab anzuzeigen und vom Sachwalter freizugeben.</w:t>
      </w:r>
    </w:p>
    <w:p>
      <w:r>
        <w:t>2. Personalmassnahmen mit Kostenwirkung ueber 20.000 EUR beduerfen der vorherigen Zustimmung.</w:t>
      </w:r>
    </w:p>
    <w:p>
      <w:r>
        <w:t>3. Der 13-Wochen-Liquiditaetsstatus ist woechentlich zu aktualisieren und dem Sachwalter zu uebermitteln.</w:t>
      </w:r>
    </w:p>
    <w:p>
      <w:r>
        <w:t>4. Wesentliche Vertragsaenderungen mit Kunden oder Lieferanten sind unverzueglich mitzuteilen.</w:t>
      </w:r>
    </w:p>
    <w:p>
      <w:r>
        <w:t>Verstoesse gegen diese Pflichten koennen zur Aufhebung der Eigenverwaltung fuehren (§ 270e InsO).</w:t>
      </w:r>
    </w:p>
    <w:p/>
    <w:p>
      <w:r>
        <w:t>RA Dr. Jonas Wehnert, vorlaeufiger Sachwalter, Erfurt, 08.07.2026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