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Cue-Sheet und GEMA-Vorbereitung</w:t>
      </w:r>
    </w:p>
    <w:p>
      <w:pPr>
        <w:pStyle w:val="Heading2"/>
      </w:pPr>
      <w:r>
        <w:rPr>
          <w:rFonts w:ascii="Times New Roman" w:hAnsi="Times New Roman"/>
        </w:rPr>
        <w:t>Arbeitstitel</w:t>
      </w:r>
    </w:p>
    <w:p>
      <w:pPr>
        <w:jc w:val="left"/>
      </w:pPr>
      <w:r>
        <w:t>Nordlicht in Beton, 30-Sekunden-Werbespot, Hauptfassung Deutsch, Lokalisierungen geplant für Österreich, Niederlande, Frankreich und Spanien.</w:t>
      </w:r>
    </w:p>
    <w:p>
      <w:pPr>
        <w:pStyle w:val="Heading2"/>
      </w:pPr>
      <w:r>
        <w:rPr>
          <w:rFonts w:ascii="Times New Roman" w:hAnsi="Times New Roman"/>
        </w:rPr>
        <w:t>Vorläufige Werkdaten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Maralda Auerbach / Henning Valtin streitig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Fredwina Zornau / Maralda Auerbach streitig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Silberfarn Edition KG, Entwurf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Auerbach Soundworks GmbH, Producer-Beteiligung 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ISRC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nicht final vergeben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ISWC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noch nicht beantragt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00:30 Spot, 00:15 Cutdown geplant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TV, Online, Social, POS-Screens, Messe, interne Präsentation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Split-Vorschlag nur für Verhandlung</w:t>
      </w:r>
    </w:p>
    <w:p>
      <w:pPr>
        <w:pStyle w:val="ListBullet"/>
      </w:pPr>
      <w:r>
        <w:t>Text: Fredwina Zornau 60 %, Maralda Auerbach 40 %.</w:t>
      </w:r>
    </w:p>
    <w:p>
      <w:pPr>
        <w:pStyle w:val="ListBullet"/>
      </w:pPr>
      <w:r>
        <w:t>Komposition: Henning Valtin 35 %, Maralda Auerbach 65 %.</w:t>
      </w:r>
    </w:p>
    <w:p>
      <w:pPr>
        <w:pStyle w:val="ListBullet"/>
      </w:pPr>
      <w:r>
        <w:t>Master: Auerbach 100 %, Producer-Bonus gesondert.</w:t>
      </w:r>
    </w:p>
    <w:p>
      <w:pPr>
        <w:jc w:val="left"/>
      </w:pPr>
      <w:r>
        <w:t>Dieser Vorschlag ist nicht als rechtliche Anerkennung gedacht. Er soll den Release ermöglichen und die Verwertungsgesellschaftenmeldung stabilisieren, solange der Streit technisch geprüft wird.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Bullet"/>
      </w:pPr>
      <w:r>
        <w:t>Darf die KI-gestützte Textfassung als Bearbeitung der Fredwina-Zeilen behandelt werden?</w:t>
      </w:r>
    </w:p>
    <w:p>
      <w:pPr>
        <w:pStyle w:val="ListBullet"/>
      </w:pPr>
      <w:r>
        <w:t>Muss Neuronest im Cue-Sheet erwähnt werden? Nach bisherigem Stand nein, aber AGB prüfen.</w:t>
      </w:r>
    </w:p>
    <w:p>
      <w:pPr>
        <w:pStyle w:val="ListBullet"/>
      </w:pPr>
      <w:r>
        <w:t>Deckt Silberfarn die Auslandsadministration oder braucht es Subpublisher?</w:t>
      </w:r>
    </w:p>
    <w:p>
      <w:pPr>
        <w:pStyle w:val="ListBullet"/>
      </w:pPr>
      <w:r>
        <w:t>Sind Werbekunde und Mediaagentur als Nutzer ausreichend freigestellt?</w:t>
      </w:r>
    </w:p>
    <w:p>
      <w:pPr>
        <w:pStyle w:val="Heading2"/>
      </w:pPr>
      <w:r>
        <w:rPr>
          <w:rFonts w:ascii="Times New Roman" w:hAnsi="Times New Roman"/>
        </w:rPr>
        <w:t>Praktische Warnung</w:t>
      </w:r>
    </w:p>
    <w:p>
      <w:pPr>
        <w:jc w:val="left"/>
      </w:pPr>
      <w:r>
        <w:t>Ein falsches Cue-Sheet kann später mehr Schaden machen als ein verspätetes Cue-Sheet. Erst Rechtekette plausibilisieren, dann melden. Wenn Fristdruck besteht, mit Vorbehalt und Änderungslog arbeiten.</w:t>
      </w:r>
    </w:p>
    <w:p>
      <w:pPr>
        <w:pStyle w:val="Heading2"/>
      </w:pPr>
      <w:r>
        <w:t>Anbindung an die GEMA-Werkanmeldung (Stand 02.06.2026)</w:t>
      </w:r>
    </w:p>
    <w:p>
      <w:r>
        <w:t>Die formale Werkanmeldung wurde als eigenes Aktenstueck ausgearbeitet, siehe 18-gema-werkanmeldung-entwurf-mit-vorbehalt.docx. Sie uebernimmt den Split-Vorschlag aus diesem Cue-Sheet unveraendert, ergaenzt jedoch Vorbehaltsvermerke zu jeder streitigen Position sowie ein Aenderungslog fuer spaetere Korrekturen.</w:t>
      </w:r>
    </w:p>
    <w:p>
      <w:pPr>
        <w:pStyle w:val="Heading3"/>
      </w:pPr>
      <w:r>
        <w:t>Auswirkung des vorlaeufigen Sachverstaendigengutachtens auf die Meldung</w:t>
      </w:r>
    </w:p>
    <w:p>
      <w:r>
        <w:t>Das vorlaeufige Sachverstaendigengutachten (Aktenstueck 16) bestaetigt eine deutliche melodische Naehe der Hookline zur Valtin-Demo, kann die Nachtbogen-Frage aber mangels ausreichendem Referenzmaterial noch nicht klaeren. Die Anteile in der GEMA-Meldung wurden deshalb vorerst nicht veraendert; lediglich die Vorbehaltsvermerke wurden nach Vorliegen des Gutachtens praezisiert.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Pruefschritt</w:t>
            </w:r>
          </w:p>
        </w:tc>
        <w:tc>
          <w:tcPr>
            <w:tcW w:type="dxa" w:w="3024"/>
          </w:tcPr>
          <w:p>
            <w:r>
              <w:t>Status</w:t>
            </w:r>
          </w:p>
        </w:tc>
        <w:tc>
          <w:tcPr>
            <w:tcW w:type="dxa" w:w="3024"/>
          </w:tcPr>
          <w:p>
            <w:r>
              <w:t>Naechster Termin</w:t>
            </w:r>
          </w:p>
        </w:tc>
      </w:tr>
      <w:tr>
        <w:tc>
          <w:tcPr>
            <w:tcW w:type="dxa" w:w="3024"/>
          </w:tcPr>
          <w:p>
            <w:r>
              <w:t>Cue-Sheet Splitvorschlag</w:t>
            </w:r>
          </w:p>
        </w:tc>
        <w:tc>
          <w:tcPr>
            <w:tcW w:type="dxa" w:w="3024"/>
          </w:tcPr>
          <w:p>
            <w:r>
              <w:t>vorlaeufig abgestimmt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GEMA-Werkanmeldung mit Vorbehalt</w:t>
            </w:r>
          </w:p>
        </w:tc>
        <w:tc>
          <w:tcPr>
            <w:tcW w:type="dxa" w:w="3024"/>
          </w:tcPr>
          <w:p>
            <w:r>
              <w:t>eingereicht</w:t>
            </w:r>
          </w:p>
        </w:tc>
        <w:tc>
          <w:tcPr>
            <w:tcW w:type="dxa" w:w="3024"/>
          </w:tcPr>
          <w:p>
            <w:r>
              <w:t>Korrekturmeldung nach Endgutachten</w:t>
            </w:r>
          </w:p>
        </w:tc>
      </w:tr>
      <w:tr>
        <w:tc>
          <w:tcPr>
            <w:tcW w:type="dxa" w:w="3024"/>
          </w:tcPr>
          <w:p>
            <w:r>
              <w:t>Sachverstaendigen-Endgutachten</w:t>
            </w:r>
          </w:p>
        </w:tc>
        <w:tc>
          <w:tcPr>
            <w:tcW w:type="dxa" w:w="3024"/>
          </w:tcPr>
          <w:p>
            <w:r>
              <w:t>ausstehend</w:t>
            </w:r>
          </w:p>
        </w:tc>
        <w:tc>
          <w:tcPr>
            <w:tcW w:type="dxa" w:w="3024"/>
          </w:tcPr>
          <w:p>
            <w:r>
              <w:t>nach Eingang Nachtbogen-Masterdatei</w:t>
            </w:r>
          </w:p>
        </w:tc>
      </w:tr>
      <w:tr>
        <w:tc>
          <w:tcPr>
            <w:tcW w:type="dxa" w:w="3024"/>
          </w:tcPr>
          <w:p>
            <w:r>
              <w:t>Verlagsvertrag Silberfarn</w:t>
            </w:r>
          </w:p>
        </w:tc>
        <w:tc>
          <w:tcPr>
            <w:tcW w:type="dxa" w:w="3024"/>
          </w:tcPr>
          <w:p>
            <w:r>
              <w:t>in Verhandlung</w:t>
            </w:r>
          </w:p>
        </w:tc>
        <w:tc>
          <w:tcPr>
            <w:tcW w:type="dxa" w:w="3024"/>
          </w:tcPr>
          <w:p>
            <w:r>
              <w:t>Zielabschluss vor Kampagnenstart 01.07.2026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