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Dipl.-Kfm. Herbert Wruck</w:t>
        <w:br/>
        <w:t>Oeffentlich bestellter Sachverstaendiger, Bielefeld</w:t>
      </w:r>
    </w:p>
    <w:p>
      <w:pPr>
        <w:pStyle w:val="Heading1"/>
      </w:pPr>
      <w:r>
        <w:t>Schriftliches Sachverstaendigengutachten</w:t>
      </w:r>
    </w:p>
    <w:p>
      <w:r>
        <w:t>Gutachten zur Frage des Eintritts der Zahlungsunfaehigkeit der Teutoburger Moebelwerk GmbH, erstattet im Auftrag des Landgerichts Bielefeld, Az. 12 O 47/26</w:t>
      </w:r>
    </w:p>
    <w:p>
      <w:r>
        <w:t>1. Grundlage: BWA-Reihe Januar bis Dezember 2025 (Aktenstueck 10), OPOS-Liste zum 30.11.2025 (Aktenstueck 11), Kontoauszuege der HebeFix Beschlagtechnik GmbH (Aktenstueck 12).</w:t>
      </w:r>
    </w:p>
    <w:p>
      <w:r>
        <w:t>2. Methodik: Ermittlung der Liquiditaetsluecke nach der IDW-S-11-Methodik anhand der monatlichen Deckungsquoten aus der BWA-Reihe.</w:t>
      </w:r>
    </w:p>
    <w:p>
      <w:r>
        <w:t>3. Befund: Die Liquiditaetsluecke uebersteigt bereits zum Stichtag 30.09.2025 die Zehn-Prozent-Schwelle des Paragraf 17 InsO und bleibt in den Folgemonaten oberhalb dieser Schwelle. Eine Beseitigung der Luecke innerhalb von drei Wochen war ab diesem Zeitpunkt nicht mehr zu erwarten.</w:t>
      </w:r>
    </w:p>
    <w:p>
      <w:r>
        <w:t>4. Ergebnis: Zahlungsunfaehigkeit trat nach den vorgelegten Unterlagen bereits zum 30.09.2025 ein, mithin vor dem im Anfechtungsschreiben genannten 12.10.2025 und erst recht vor den drei streitgegenstaendlichen Zahlungen.</w:t>
      </w:r>
    </w:p>
    <w:p>
      <w:r>
        <w:t>Bielefeld, 10.11.2026</w:t>
        <w:br/>
        <w:t>Dipl.-Kfm. Herbert Wruck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