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Dr. Matthias Suender, vorlaeufiger Insolvenzverwalter</w:t>
      </w:r>
    </w:p>
    <w:p>
      <w:pPr>
        <w:pStyle w:val="Heading1"/>
      </w:pPr>
      <w:r>
        <w:t>Antwort auf Aussonderungsantrag - Hinweis auf Verwertungsbefugnis gemaess § 166 Abs. 1 InsO</w:t>
      </w:r>
    </w:p>
    <w:p>
      <w:r>
        <w:t>An Rechtsanwaelte Bohnert &amp; Kollegen</w:t>
      </w:r>
    </w:p>
    <w:p>
      <w:r>
        <w:t>Bielefeld, den 28.01.2026</w:t>
      </w:r>
    </w:p>
    <w:p>
      <w:r>
        <w:t>Sehr geehrte Kolleginnen und Kollegen,</w:t>
      </w:r>
    </w:p>
    <w:p>
      <w:r>
        <w:t>das Aussonderungsrecht Ihrer Mandantin an den zehn am Standort Bielefeld/Herford befindlichen Objekten wird dem Grunde nach nicht bestritten. Allerdings befinden sich diese Objekte im unmittelbaren Besitz der Schuldnerin, sodass ich als vorlaeufiger Insolvenzverwalter gemaess § 21 Abs. 2 Nr. 5 InsO i.V.m. § 166 Abs. 1 InsO zur Verwertung beweglicher Sachen, an denen ein Absonderungs- bzw. aussonderungsaehnliches Recht besteht, berechtigt sein kann, sofern die Voraussetzungen vorliegen.</w:t>
      </w:r>
    </w:p>
    <w:p>
      <w:r>
        <w:t>Zu den Objekten 11 und 12 (Pilsen) kann ich derzeit keine Auskunft geben; die Geschaeftsfuehrung der Schuldnerin hat hierzu bislang keine Angaben gemacht.</w:t>
      </w:r>
    </w:p>
    <w:p>
      <w:r>
        <w:t>Ich bitte um kurzfristige Abstimmung des weiteren Vorgehens, insbesondere zur Kostentragung fuer Abbau und Ruecktransport.</w:t>
      </w:r>
    </w:p>
    <w:p>
      <w:r>
        <w:t>Mit freundlichen Gruessen</w:t>
      </w:r>
    </w:p>
    <w:p/>
    <w:p>
      <w:r>
        <w:t>Dr. Matthias Suender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