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Rechtsanwaelte Bohnert &amp; Kollegen</w:t>
      </w:r>
    </w:p>
    <w:p>
      <w:pPr>
        <w:pStyle w:val="Heading1"/>
      </w:pPr>
      <w:r>
        <w:t>Klageentwurf: Herausgabeklage aus Sicherungseigentum / vorsorgliche Feststellungsklage</w:t>
      </w:r>
    </w:p>
    <w:p>
      <w:r>
        <w:t>Entwurf einer Klageschrift zum Landgericht Bielefeld gegen Rotorwerk CZ s.r.o. auf Herausgabe der Objekte 11 und 12, hilfsweise Feststellung, dass der NordLease Maschinen-Leasing GmbH das Eigentum an diesen Objekten zusteht.</w:t>
      </w:r>
    </w:p>
    <w:p>
      <w:pPr>
        <w:pStyle w:val="Heading2"/>
      </w:pPr>
      <w:r>
        <w:t>Klageantrag (Entwurf)</w:t>
      </w:r>
    </w:p>
    <w:p>
      <w:r>
        <w:t>1. Die Beklagte wird verurteilt, die CNC-Bearbeitungszentren mit den Seriennummern HVF6-22101 und HVF6-22102 an die Klaegerin herauszugeben.</w:t>
      </w:r>
    </w:p>
    <w:p>
      <w:r>
        <w:t>2. Hilfsweise: Es wird festgestellt, dass das Eigentum an den vorgenannten Maschinen der Klaegerin zusteht.</w:t>
      </w:r>
    </w:p>
    <w:p>
      <w:pPr>
        <w:pStyle w:val="Heading2"/>
      </w:pPr>
      <w:r>
        <w:t>Vorbemerkung des Sachbearbeiters</w:t>
      </w:r>
    </w:p>
    <w:p>
      <w:r>
        <w:t>Vor Klageerhebung ist zu pruefen, ob eine internationale Zustaendigkeit gegenueber der tschechischen Tochtergesellschaft gegeben ist und ob eine Vollstreckung in Tschechien ueberhaupt aussichtsreich waere. Alternative: Verhandlungsloesung ueber den Insolvenzverwalter, da Rotorwerk CZ s.r.o. wirtschaftlich mit der insolventen Muttergesellschaft verflochten 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