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NordLease Maschinen-Leasing GmbH ./. Insolvenzmasse Rotorwerk Praezisionstechnik GmbH</w:t>
      </w:r>
    </w:p>
    <w:p>
      <w:pPr>
        <w:pStyle w:val="Heading1"/>
      </w:pPr>
      <w:r>
        <w:t>Forderungsanmeldung Nachforderung Restwertdifferenz zur Insolvenztabelle</w:t>
      </w:r>
    </w:p>
    <w:p>
      <w:r>
        <w:t>Forderungsanmeldung vom 15.03.2026 zum Insolvenzverfahren Az. 43 IN 88/26 AG Bielefeld.</w:t>
      </w:r>
    </w:p>
    <w:p>
      <w:pPr>
        <w:pStyle w:val="Heading2"/>
      </w:pPr>
      <w:r>
        <w:t>Berechnung der Nachforderung</w:t>
      </w:r>
    </w:p>
    <w:p>
      <w:r>
        <w:t>Kalkulierter Restwert (10 Objekte a EUR 42.000,00): EUR 420.000,00</w:t>
      </w:r>
    </w:p>
    <w:p>
      <w:r>
        <w:t>abzueglich ausgezahltem Verwertungserloes: EUR 234.780,00</w:t>
      </w:r>
    </w:p>
    <w:p>
      <w:r>
        <w:t>abzueglich offener Leasingraten Nov./Dez. 2025: bereits gesondert angemeldet (siehe Forderungstabelle)</w:t>
      </w:r>
    </w:p>
    <w:p>
      <w:r>
        <w:t>Nachforderung Restwertdifferenz zur Anmeldung: EUR 185.220,00</w:t>
      </w:r>
    </w:p>
    <w:p>
      <w:pPr>
        <w:pStyle w:val="Heading2"/>
      </w:pPr>
      <w:r>
        <w:t>Zu den Objekten 11 und 12</w:t>
      </w:r>
    </w:p>
    <w:p>
      <w:r>
        <w:t>Fuer die in Pilsen verbliebenen Objekte 11 und 12 wird ein Schaden in Hoehe des vollen kalkulierten Restwerts von je EUR 42.000,00 (insgesamt EUR 84.000,00) gesondert zur Tabelle angemeldet, da eine Rueckfuehrung bislang nicht gelungen ist (siehe gesonderte Schadensersatzberechnung).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