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Sanftleben – Insolvenzverwalterin</w:t>
        <w:br/>
        <w:t>Bueltmannshof 12, 33602 Bielefeld</w:t>
      </w:r>
    </w:p>
    <w:p>
      <w:pPr>
        <w:pStyle w:val="Heading1"/>
      </w:pPr>
      <w:r>
        <w:t>Vergleichsvorschlag</w:t>
      </w:r>
    </w:p>
    <w:p>
      <w:r>
        <w:t>An das Landgericht Bielefeld – Az. 12 O 47/26, nachrichtlich an die Beklagtenvertretung</w:t>
      </w:r>
    </w:p>
    <w:p>
      <w:r>
        <w:t>Die Klaegerin unterbreitet folgenden Vergleichsvorschlag:</w:t>
      </w:r>
    </w:p>
    <w:p>
      <w:r>
        <w:t>1. Die Beklagte zahlt an die Insolvenzmasse EUR 55.000,00 in zwei Raten (30.12.2026 und 28.02.2027).</w:t>
      </w:r>
    </w:p>
    <w:p>
      <w:r>
        <w:t>2. Die Klaegerin verzichtet auf die Geltendmachung des Restbetrags von EUR 32.400,00 sowie auf Zinsen.</w:t>
      </w:r>
    </w:p>
    <w:p>
      <w:r>
        <w:t>3. Die Kosten des Rechtsstreits werden gegeneinander aufgehoben.</w:t>
      </w:r>
    </w:p>
    <w:p>
      <w:r>
        <w:t>4. Mit vollstaendiger Zahlung sind saemtliche Anspruche aus dem streitgegenstaendlichen Sachverhalt erledigt.</w:t>
      </w:r>
    </w:p>
    <w:p>
      <w:r>
        <w:t>Begruendung: Angesichts der nach dem Sachverstaendigengutachten verbleibenden Unsicherheit zur subjektiven Kenntnis der Beklagten und der damit verbundenen Prozessrisiken erscheint eine vergleichsweise Erledigung im Interesse der Masse sachgerecht.</w:t>
      </w:r>
    </w:p>
    <w:p>
      <w:r>
        <w:t>Dr. Friederike Sanftleben</w:t>
        <w:br/>
        <w:t>Rechtsanwaeltin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