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Friederike Stollberg – Insolvenzverwalterin</w:t>
        <w:br/>
        <w:t>Annaberger Strasse 73, 09120 Chemnitz</w:t>
      </w:r>
    </w:p>
    <w:p>
      <w:pPr>
        <w:pStyle w:val="Heading1"/>
      </w:pPr>
      <w:r>
        <w:t>Duplik der Klaegerin</w:t>
      </w:r>
    </w:p>
    <w:p>
      <w:r>
        <w:t>An das Landgericht Chemnitz – Az. 5 O 233/26</w:t>
      </w:r>
    </w:p>
    <w:p>
      <w:r>
        <w:t>Die Klaegerin haelt an ihrem Vortrag fest. Der interne Vermerk der Beklagten vom 03.11.2025 (Aktenstueck 14) belegt, dass der Restrukturierungsberater Dr. Feldkamp der Beklagten am 30.10.2025 Kernzahlen aus dem Kurzgutachten mitgeteilt hat, um eine weitere Belieferung zu erwirken. Dies begruendet eine positive Kenntnis von einer drohenden Zahlungsunfaehigkeit im Sinne des Paragraf 130 Absatz 2 InsO.</w:t>
      </w:r>
    </w:p>
    <w:p>
      <w:r>
        <w:t>Ferner ergibt der Rechnungs-Zahlungs-Abgleich (Aktenstueck 06), dass drei Zahlungen jeweils mehr als 30 Tage vor der zugehoerigen Lieferung erfolgten und damit ausserhalb des von der Rechtsprechung anerkannten engen zeitlichen Zusammenhangs liegen (BGH-Rechtsprechung zum Bargeschaeft, live zu verifizieren).</w:t>
      </w:r>
    </w:p>
    <w:p>
      <w:r>
        <w:t>Dr. Friederike Stollberg</w:t>
        <w:br/>
        <w:t>Rechtsanwaeltin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