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Mandatsnotiz zum Erstgespräch</w:t>
      </w:r>
    </w:p>
    <w:tbl>
      <w:tblPr>
        <w:tblStyle w:val="TableGrid"/>
        <w:tblW w:type="auto" w:w="0"/>
        <w:jc w:val="center"/>
        <w:tblLayout w:type="autofit"/>
        <w:tblLook w:firstColumn="1" w:firstRow="1" w:lastColumn="0" w:lastRow="0" w:noHBand="0" w:noVBand="1" w:val="04A0"/>
      </w:tblPr>
      <w:tblGrid>
        <w:gridCol w:w="4872"/>
        <w:gridCol w:w="4872"/>
      </w:tblGrid>
      <w:tr>
        <w:trPr>
          <w:tblHeader w:val="true"/>
        </w:trPr>
        <w:tc>
          <w:tcPr>
            <w:tcW w:type="dxa" w:w="4872"/>
            <w:shd w:fill="17324D"/>
            <w:vAlign w:val="center"/>
            <w:tcMar>
              <w:top w:w="90" w:type="dxa"/>
              <w:start w:w="100" w:type="dxa"/>
              <w:bottom w:w="90" w:type="dxa"/>
              <w:end w:w="100" w:type="dxa"/>
            </w:tcMar>
          </w:tcPr>
          <w:p>
            <w:pPr>
              <w:spacing w:after="30"/>
            </w:pPr>
            <w:r>
              <w:rPr>
                <w:rFonts w:ascii="Arial" w:hAnsi="Arial"/>
                <w:b/>
                <w:color w:val="FFFFFF"/>
                <w:sz w:val="17"/>
              </w:rPr>
              <w:t>Mandantin</w:t>
            </w:r>
          </w:p>
        </w:tc>
        <w:tc>
          <w:tcPr>
            <w:tcW w:type="dxa" w:w="4872"/>
            <w:vAlign w:val="center"/>
            <w:tcMar>
              <w:top w:w="90" w:type="dxa"/>
              <w:start w:w="100" w:type="dxa"/>
              <w:bottom w:w="90" w:type="dxa"/>
              <w:end w:w="100" w:type="dxa"/>
            </w:tcMar>
            <w:shd w:fill="17324D"/>
          </w:tcPr>
          <w:p>
            <w:pPr>
              <w:spacing w:after="30"/>
            </w:pPr>
            <w:r>
              <w:rPr>
                <w:rFonts w:ascii="Arial" w:hAnsi="Arial"/>
                <w:b/>
                <w:color w:val="FFFFFF"/>
                <w:sz w:val="17"/>
              </w:rPr>
              <w:t>Eva Lohse, Kastanienallee 71, 10435 Berlin</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Erblasser</w:t>
            </w:r>
          </w:p>
        </w:tc>
        <w:tc>
          <w:tcPr>
            <w:tcW w:type="dxa" w:w="4872"/>
            <w:vAlign w:val="center"/>
            <w:tcMar>
              <w:top w:w="90" w:type="dxa"/>
              <w:start w:w="100" w:type="dxa"/>
              <w:bottom w:w="90" w:type="dxa"/>
              <w:end w:w="100" w:type="dxa"/>
            </w:tcMar>
          </w:tcPr>
          <w:p>
            <w:pPr>
              <w:spacing w:after="30"/>
            </w:pPr>
            <w:r>
              <w:rPr>
                <w:rFonts w:ascii="Arial" w:hAnsi="Arial"/>
                <w:sz w:val="17"/>
              </w:rPr>
              <w:t>Armin Lohse, geboren am 18.02.1967, verstorben am 03.05.2026</w:t>
            </w:r>
          </w:p>
        </w:tc>
      </w:tr>
      <w:tr>
        <w:tc>
          <w:tcPr>
            <w:tcW w:type="dxa" w:w="4872"/>
            <w:shd w:fill="F2F4F5"/>
            <w:vAlign w:val="center"/>
            <w:tcMar>
              <w:top w:w="90" w:type="dxa"/>
              <w:start w:w="100" w:type="dxa"/>
              <w:bottom w:w="90" w:type="dxa"/>
              <w:end w:w="100" w:type="dxa"/>
            </w:tcMar>
          </w:tcPr>
          <w:p>
            <w:pPr>
              <w:spacing w:after="30"/>
            </w:pPr>
            <w:r>
              <w:rPr>
                <w:rFonts w:ascii="Arial" w:hAnsi="Arial"/>
                <w:b/>
                <w:color w:val="17324D"/>
                <w:sz w:val="17"/>
              </w:rPr>
              <w:t>Besprechung</w:t>
            </w:r>
          </w:p>
        </w:tc>
        <w:tc>
          <w:tcPr>
            <w:tcW w:type="dxa" w:w="4872"/>
            <w:vAlign w:val="center"/>
            <w:tcMar>
              <w:top w:w="90" w:type="dxa"/>
              <w:start w:w="100" w:type="dxa"/>
              <w:bottom w:w="90" w:type="dxa"/>
              <w:end w:w="100" w:type="dxa"/>
            </w:tcMar>
            <w:shd w:fill="F2F4F5"/>
          </w:tcPr>
          <w:p>
            <w:pPr>
              <w:spacing w:after="30"/>
            </w:pPr>
            <w:r>
              <w:rPr>
                <w:rFonts w:ascii="Arial" w:hAnsi="Arial"/>
                <w:sz w:val="17"/>
              </w:rPr>
              <w:t>18.06.2026, 09:05 bis 10:42 Uhr, Besprechungsraum 2</w:t>
            </w:r>
          </w:p>
        </w:tc>
      </w:tr>
      <w:tr>
        <w:tc>
          <w:tcPr>
            <w:tcW w:type="dxa" w:w="4872"/>
            <w:shd w:fill="EAF1F5"/>
            <w:vAlign w:val="center"/>
            <w:tcMar>
              <w:top w:w="90" w:type="dxa"/>
              <w:start w:w="100" w:type="dxa"/>
              <w:bottom w:w="90" w:type="dxa"/>
              <w:end w:w="100" w:type="dxa"/>
            </w:tcMar>
          </w:tcPr>
          <w:p>
            <w:pPr>
              <w:spacing w:after="30"/>
            </w:pPr>
            <w:r>
              <w:rPr>
                <w:rFonts w:ascii="Arial" w:hAnsi="Arial"/>
                <w:b/>
                <w:color w:val="17324D"/>
                <w:sz w:val="17"/>
              </w:rPr>
              <w:t>Bearbeitung</w:t>
            </w:r>
          </w:p>
        </w:tc>
        <w:tc>
          <w:tcPr>
            <w:tcW w:type="dxa" w:w="4872"/>
            <w:vAlign w:val="center"/>
            <w:tcMar>
              <w:top w:w="90" w:type="dxa"/>
              <w:start w:w="100" w:type="dxa"/>
              <w:bottom w:w="90" w:type="dxa"/>
              <w:end w:w="100" w:type="dxa"/>
            </w:tcMar>
          </w:tcPr>
          <w:p>
            <w:pPr>
              <w:spacing w:after="30"/>
            </w:pPr>
            <w:r>
              <w:rPr>
                <w:rFonts w:ascii="Arial" w:hAnsi="Arial"/>
                <w:sz w:val="17"/>
              </w:rPr>
              <w:t>Dr. Susanne Voll-Herzberg; Protokoll: Rechtsanwaltsfachangestellte Mina Duarte</w:t>
            </w:r>
          </w:p>
        </w:tc>
      </w:tr>
    </w:tbl>
    <w:p/>
    <w:p>
      <w:pPr>
        <w:pStyle w:val="Heading1"/>
      </w:pPr>
      <w:r>
        <w:t>1. Anlass und Beteiligte</w:t>
      </w:r>
    </w:p>
    <w:p>
      <w:pPr>
        <w:keepLines w:val="0"/>
      </w:pPr>
      <w:r>
        <w:t>Eva Lohse erschien mit einem grauen Leitz-Ordner, der Sterbeurkunde, dem handschriftlichen Testament vom 12.09.2021, fünf Kontoauszügen und einem Ausdruck der Nachrichten ihres Schwagers Ralf Lohse. Armin Lohse arbeitete als selbstständiger Architektur- und Porträtfotograf. Das Atelier in der Veteranenstraße 12 wurde gemeinsam mit Ralf genutzt; Mietvertrag und Betriebskosten liefen allein auf Armin.</w:t>
      </w:r>
    </w:p>
    <w:p>
      <w:pPr>
        <w:keepLines w:val="0"/>
      </w:pPr>
      <w:r>
        <w:t>Aus Armins erster Ehe stammt die Tochter Jana Lohse, geboren am 27.11.1996. Eva und Armin heirateten am 24.08.2018. Ralf ist Armins älterer Bruder und übernahm gelegentlich Retusche und Datensicherung gegen Einzelhonorar. Eine Gesellschaft oder dauerhafte Rechteübertragung ist nicht schriftlich dokumentiert.</w:t>
      </w:r>
    </w:p>
    <w:p>
      <w:pPr>
        <w:pStyle w:val="Heading1"/>
      </w:pPr>
      <w:r>
        <w:t>2. Akute Sicherungslage</w:t>
      </w:r>
    </w:p>
    <w:p>
      <w:pPr>
        <w:keepLines w:val="0"/>
      </w:pPr>
      <w:r>
        <w:t>Ralf nahm den Studiorechner am 08.05.2026 an sich. Er erklärte, nur dort lasse sich der verschlüsselte Passwortsafe öffnen. Eva besitzt den Schlüssel zum Atelier, nicht aber das Administratorpasswort. Das NAS steht weiterhin im verschlossenen Serverschrank; die Statusleuchte war nach Janas Foto vom 17.06.2026 noch aktiv.</w:t>
      </w:r>
    </w:p>
    <w:p>
      <w:pPr>
        <w:keepLines w:val="0"/>
      </w:pPr>
      <w:r>
        <w:t>Die Bildagentur Nordfenster hält Honorare von 7840,00 EUR zurück. Ein Hochzeitspaar verlangt bis 31.07.2026 die vertraglich zugesagten Dateien oder die Rückzahlung von 2600,00 EUR. Zwei Abonnements verlängern sich im Juli. Eine Löschung, Sortierung oder erneute Synchronisierung der Datenträger soll bis zur technischen Bestandsaufnahme unterbleiben.</w:t>
      </w:r>
    </w:p>
    <w:tbl>
      <w:tblPr>
        <w:tblStyle w:val="TableGrid"/>
        <w:tblW w:type="auto" w:w="0"/>
        <w:jc w:val="center"/>
        <w:tblLayout w:type="autofit"/>
        <w:tblLook w:firstColumn="1" w:firstRow="1" w:lastColumn="0" w:lastRow="0" w:noHBand="0" w:noVBand="1" w:val="04A0"/>
      </w:tblPr>
      <w:tblGrid>
        <w:gridCol w:w="2436"/>
        <w:gridCol w:w="2436"/>
        <w:gridCol w:w="2436"/>
        <w:gridCol w:w="2436"/>
      </w:tblGrid>
      <w:tr>
        <w:trPr>
          <w:tblHeader w:val="true"/>
        </w:trPr>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Gegenstand</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Letzter sicherer Ort</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Zugriff</w:t>
            </w:r>
          </w:p>
        </w:tc>
        <w:tc>
          <w:tcPr>
            <w:tcW w:type="dxa" w:w="2436"/>
            <w:vAlign w:val="center"/>
            <w:tcMar>
              <w:top w:w="90" w:type="dxa"/>
              <w:start w:w="100" w:type="dxa"/>
              <w:bottom w:w="90" w:type="dxa"/>
              <w:end w:w="100" w:type="dxa"/>
            </w:tcMar>
            <w:shd w:fill="17324D"/>
          </w:tcPr>
          <w:p>
            <w:pPr>
              <w:spacing w:after="30"/>
            </w:pPr>
            <w:r>
              <w:rPr>
                <w:rFonts w:ascii="Arial" w:hAnsi="Arial"/>
                <w:b/>
                <w:color w:val="FFFFFF"/>
                <w:sz w:val="17"/>
              </w:rPr>
              <w:t>Sofortfrage</w:t>
            </w:r>
          </w:p>
        </w:tc>
      </w:tr>
      <w:tr>
        <w:tc>
          <w:tcPr>
            <w:tcW w:type="dxa" w:w="2436"/>
            <w:vAlign w:val="center"/>
            <w:tcMar>
              <w:top w:w="90" w:type="dxa"/>
              <w:start w:w="100" w:type="dxa"/>
              <w:bottom w:w="90" w:type="dxa"/>
              <w:end w:w="100" w:type="dxa"/>
            </w:tcMar>
          </w:tcPr>
          <w:p>
            <w:pPr>
              <w:spacing w:after="30"/>
            </w:pPr>
            <w:r>
              <w:rPr>
                <w:rFonts w:ascii="Arial" w:hAnsi="Arial"/>
                <w:sz w:val="17"/>
              </w:rPr>
              <w:t>Studiorechner</w:t>
            </w:r>
          </w:p>
        </w:tc>
        <w:tc>
          <w:tcPr>
            <w:tcW w:type="dxa" w:w="2436"/>
            <w:vAlign w:val="center"/>
            <w:tcMar>
              <w:top w:w="90" w:type="dxa"/>
              <w:start w:w="100" w:type="dxa"/>
              <w:bottom w:w="90" w:type="dxa"/>
              <w:end w:w="100" w:type="dxa"/>
            </w:tcMar>
          </w:tcPr>
          <w:p>
            <w:pPr>
              <w:spacing w:after="30"/>
            </w:pPr>
            <w:r>
              <w:rPr>
                <w:rFonts w:ascii="Arial" w:hAnsi="Arial"/>
                <w:sz w:val="17"/>
              </w:rPr>
              <w:t>bei Ralf Lohse</w:t>
            </w:r>
          </w:p>
        </w:tc>
        <w:tc>
          <w:tcPr>
            <w:tcW w:type="dxa" w:w="2436"/>
            <w:vAlign w:val="center"/>
            <w:tcMar>
              <w:top w:w="90" w:type="dxa"/>
              <w:start w:w="100" w:type="dxa"/>
              <w:bottom w:w="90" w:type="dxa"/>
              <w:end w:w="100" w:type="dxa"/>
            </w:tcMar>
          </w:tcPr>
          <w:p>
            <w:pPr>
              <w:spacing w:after="30"/>
            </w:pPr>
            <w:r>
              <w:rPr>
                <w:rFonts w:ascii="Arial" w:hAnsi="Arial"/>
                <w:sz w:val="17"/>
              </w:rPr>
              <w:t>Ralf</w:t>
            </w:r>
          </w:p>
        </w:tc>
        <w:tc>
          <w:tcPr>
            <w:tcW w:type="dxa" w:w="2436"/>
            <w:vAlign w:val="center"/>
            <w:tcMar>
              <w:top w:w="90" w:type="dxa"/>
              <w:start w:w="100" w:type="dxa"/>
              <w:bottom w:w="90" w:type="dxa"/>
              <w:end w:w="100" w:type="dxa"/>
            </w:tcMar>
          </w:tcPr>
          <w:p>
            <w:pPr>
              <w:spacing w:after="30"/>
            </w:pPr>
            <w:r>
              <w:rPr>
                <w:rFonts w:ascii="Arial" w:hAnsi="Arial"/>
                <w:sz w:val="17"/>
              </w:rPr>
              <w:t>Herausgabe oder neutrale Sicherung</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NAS mit Bildarchiv</w:t>
            </w:r>
          </w:p>
        </w:tc>
        <w:tc>
          <w:tcPr>
            <w:tcW w:type="dxa" w:w="2436"/>
            <w:vAlign w:val="center"/>
            <w:tcMar>
              <w:top w:w="90" w:type="dxa"/>
              <w:start w:w="100" w:type="dxa"/>
              <w:bottom w:w="90" w:type="dxa"/>
              <w:end w:w="100" w:type="dxa"/>
            </w:tcMar>
            <w:shd w:fill="F2F4F5"/>
          </w:tcPr>
          <w:p>
            <w:pPr>
              <w:spacing w:after="30"/>
            </w:pPr>
            <w:r>
              <w:rPr>
                <w:rFonts w:ascii="Arial" w:hAnsi="Arial"/>
                <w:sz w:val="17"/>
              </w:rPr>
              <w:t>Atelier Veteranenstraße</w:t>
            </w:r>
          </w:p>
        </w:tc>
        <w:tc>
          <w:tcPr>
            <w:tcW w:type="dxa" w:w="2436"/>
            <w:vAlign w:val="center"/>
            <w:tcMar>
              <w:top w:w="90" w:type="dxa"/>
              <w:start w:w="100" w:type="dxa"/>
              <w:bottom w:w="90" w:type="dxa"/>
              <w:end w:w="100" w:type="dxa"/>
            </w:tcMar>
            <w:shd w:fill="F2F4F5"/>
          </w:tcPr>
          <w:p>
            <w:pPr>
              <w:spacing w:after="30"/>
            </w:pPr>
            <w:r>
              <w:rPr>
                <w:rFonts w:ascii="Arial" w:hAnsi="Arial"/>
                <w:sz w:val="17"/>
              </w:rPr>
              <w:t>Passwort unbekannt</w:t>
            </w:r>
          </w:p>
        </w:tc>
        <w:tc>
          <w:tcPr>
            <w:tcW w:type="dxa" w:w="2436"/>
            <w:vAlign w:val="center"/>
            <w:tcMar>
              <w:top w:w="90" w:type="dxa"/>
              <w:start w:w="100" w:type="dxa"/>
              <w:bottom w:w="90" w:type="dxa"/>
              <w:end w:w="100" w:type="dxa"/>
            </w:tcMar>
            <w:shd w:fill="F2F4F5"/>
          </w:tcPr>
          <w:p>
            <w:pPr>
              <w:spacing w:after="30"/>
            </w:pPr>
            <w:r>
              <w:rPr>
                <w:rFonts w:ascii="Arial" w:hAnsi="Arial"/>
                <w:sz w:val="17"/>
              </w:rPr>
              <w:t>Stromversorgung und unveränderte Kopie</w:t>
            </w:r>
          </w:p>
        </w:tc>
      </w:tr>
      <w:tr>
        <w:tc>
          <w:tcPr>
            <w:tcW w:type="dxa" w:w="2436"/>
            <w:vAlign w:val="center"/>
            <w:tcMar>
              <w:top w:w="90" w:type="dxa"/>
              <w:start w:w="100" w:type="dxa"/>
              <w:bottom w:w="90" w:type="dxa"/>
              <w:end w:w="100" w:type="dxa"/>
            </w:tcMar>
          </w:tcPr>
          <w:p>
            <w:pPr>
              <w:spacing w:after="30"/>
            </w:pPr>
            <w:r>
              <w:rPr>
                <w:rFonts w:ascii="Arial" w:hAnsi="Arial"/>
                <w:sz w:val="17"/>
              </w:rPr>
              <w:t>Notizbuch</w:t>
            </w:r>
          </w:p>
        </w:tc>
        <w:tc>
          <w:tcPr>
            <w:tcW w:type="dxa" w:w="2436"/>
            <w:vAlign w:val="center"/>
            <w:tcMar>
              <w:top w:w="90" w:type="dxa"/>
              <w:start w:w="100" w:type="dxa"/>
              <w:bottom w:w="90" w:type="dxa"/>
              <w:end w:w="100" w:type="dxa"/>
            </w:tcMar>
          </w:tcPr>
          <w:p>
            <w:pPr>
              <w:spacing w:after="30"/>
            </w:pPr>
            <w:r>
              <w:rPr>
                <w:rFonts w:ascii="Arial" w:hAnsi="Arial"/>
                <w:sz w:val="17"/>
              </w:rPr>
              <w:t>Kameraschrank</w:t>
            </w:r>
          </w:p>
        </w:tc>
        <w:tc>
          <w:tcPr>
            <w:tcW w:type="dxa" w:w="2436"/>
            <w:vAlign w:val="center"/>
            <w:tcMar>
              <w:top w:w="90" w:type="dxa"/>
              <w:start w:w="100" w:type="dxa"/>
              <w:bottom w:w="90" w:type="dxa"/>
              <w:end w:w="100" w:type="dxa"/>
            </w:tcMar>
          </w:tcPr>
          <w:p>
            <w:pPr>
              <w:spacing w:after="30"/>
            </w:pPr>
            <w:r>
              <w:rPr>
                <w:rFonts w:ascii="Arial" w:hAnsi="Arial"/>
                <w:sz w:val="17"/>
              </w:rPr>
              <w:t>Eva</w:t>
            </w:r>
          </w:p>
        </w:tc>
        <w:tc>
          <w:tcPr>
            <w:tcW w:type="dxa" w:w="2436"/>
            <w:vAlign w:val="center"/>
            <w:tcMar>
              <w:top w:w="90" w:type="dxa"/>
              <w:start w:w="100" w:type="dxa"/>
              <w:bottom w:w="90" w:type="dxa"/>
              <w:end w:w="100" w:type="dxa"/>
            </w:tcMar>
          </w:tcPr>
          <w:p>
            <w:pPr>
              <w:spacing w:after="30"/>
            </w:pPr>
            <w:r>
              <w:rPr>
                <w:rFonts w:ascii="Arial" w:hAnsi="Arial"/>
                <w:sz w:val="17"/>
              </w:rPr>
              <w:t>Fundumstände dokumentieren</w:t>
            </w:r>
          </w:p>
        </w:tc>
      </w:tr>
      <w:tr>
        <w:tc>
          <w:tcPr>
            <w:tcW w:type="dxa" w:w="2436"/>
            <w:vAlign w:val="center"/>
            <w:tcMar>
              <w:top w:w="90" w:type="dxa"/>
              <w:start w:w="100" w:type="dxa"/>
              <w:bottom w:w="90" w:type="dxa"/>
              <w:end w:w="100" w:type="dxa"/>
            </w:tcMar>
            <w:shd w:fill="F2F4F5"/>
          </w:tcPr>
          <w:p>
            <w:pPr>
              <w:spacing w:after="30"/>
            </w:pPr>
            <w:r>
              <w:rPr>
                <w:rFonts w:ascii="Arial" w:hAnsi="Arial"/>
                <w:sz w:val="17"/>
              </w:rPr>
              <w:t>Cloud- und Galeriezugänge</w:t>
            </w:r>
          </w:p>
        </w:tc>
        <w:tc>
          <w:tcPr>
            <w:tcW w:type="dxa" w:w="2436"/>
            <w:vAlign w:val="center"/>
            <w:tcMar>
              <w:top w:w="90" w:type="dxa"/>
              <w:start w:w="100" w:type="dxa"/>
              <w:bottom w:w="90" w:type="dxa"/>
              <w:end w:w="100" w:type="dxa"/>
            </w:tcMar>
            <w:shd w:fill="F2F4F5"/>
          </w:tcPr>
          <w:p>
            <w:pPr>
              <w:spacing w:after="30"/>
            </w:pPr>
            <w:r>
              <w:rPr>
                <w:rFonts w:ascii="Arial" w:hAnsi="Arial"/>
                <w:sz w:val="17"/>
              </w:rPr>
              <w:t>Passwortsafe vermutet</w:t>
            </w:r>
          </w:p>
        </w:tc>
        <w:tc>
          <w:tcPr>
            <w:tcW w:type="dxa" w:w="2436"/>
            <w:vAlign w:val="center"/>
            <w:tcMar>
              <w:top w:w="90" w:type="dxa"/>
              <w:start w:w="100" w:type="dxa"/>
              <w:bottom w:w="90" w:type="dxa"/>
              <w:end w:w="100" w:type="dxa"/>
            </w:tcMar>
            <w:shd w:fill="F2F4F5"/>
          </w:tcPr>
          <w:p>
            <w:pPr>
              <w:spacing w:after="30"/>
            </w:pPr>
            <w:r>
              <w:rPr>
                <w:rFonts w:ascii="Arial" w:hAnsi="Arial"/>
                <w:sz w:val="17"/>
              </w:rPr>
              <w:t>ungeklärt</w:t>
            </w:r>
          </w:p>
        </w:tc>
        <w:tc>
          <w:tcPr>
            <w:tcW w:type="dxa" w:w="2436"/>
            <w:vAlign w:val="center"/>
            <w:tcMar>
              <w:top w:w="90" w:type="dxa"/>
              <w:start w:w="100" w:type="dxa"/>
              <w:bottom w:w="90" w:type="dxa"/>
              <w:end w:w="100" w:type="dxa"/>
            </w:tcMar>
            <w:shd w:fill="F2F4F5"/>
          </w:tcPr>
          <w:p>
            <w:pPr>
              <w:spacing w:after="30"/>
            </w:pPr>
            <w:r>
              <w:rPr>
                <w:rFonts w:ascii="Arial" w:hAnsi="Arial"/>
                <w:sz w:val="17"/>
              </w:rPr>
              <w:t>Vertragsbestand sichern</w:t>
            </w:r>
          </w:p>
        </w:tc>
      </w:tr>
    </w:tbl>
    <w:p>
      <w:pPr>
        <w:pStyle w:val="Heading1"/>
      </w:pPr>
      <w:r>
        <w:t>3. Erbrechtliche Ausgangsdokumente</w:t>
      </w:r>
    </w:p>
    <w:p>
      <w:pPr>
        <w:keepLines w:val="0"/>
      </w:pPr>
      <w:r>
        <w:t>Das Testament vom 12.09.2021 bezeichnet Eva als Erbin und Jana als Empfängerin der Leica sowie der Bilder aus ihrer Kindheit. Ein undatierter, nicht unterschriebener Zettel mit dem Satz, Jana solle nicht leer ausgehen, lag nach Ralfs Angaben im Kameraschrank. Eva bestreitet nicht den Fund, kann aber weder Funddatum noch ursprüngliche Ablage bestätigen.</w:t>
      </w:r>
    </w:p>
    <w:p>
      <w:pPr>
        <w:keepLines w:val="0"/>
      </w:pPr>
      <w:r>
        <w:t>Die Mandantin möchte keine vorzeitige Festlegung zur Reichweite des Zettels. Zunächst sollen Originale, Handschrift, Fundkette und frühere Äußerungen rekonstruiert werden. Jana soll bei der Sicherung ihrer Kindheitsbilder beteiligt werden, ohne dass dadurch eine bestimmte Erbquote anerkannt wird.</w:t>
      </w:r>
    </w:p>
    <w:p>
      <w:pPr>
        <w:pStyle w:val="Heading1"/>
      </w:pPr>
      <w:r>
        <w:t>4. Vereinbarter Arbeitsauftrag</w:t>
      </w:r>
    </w:p>
    <w:p>
      <w:pPr>
        <w:keepLines w:val="0"/>
      </w:pPr>
      <w:r>
        <w:t>Die Kanzlei fordert eine unveränderte Übergabe oder neutrale Spiegelung der Geräte, klärt den Stand des Erbscheinsverfahrens, strukturiert analoges und digitales Inventar und stimmt mit Nordfenster eine Zwischenverwahrung der Honorare ab. Rückfragen werden zunächst auf fehlende Tatsachen beschränkt.</w:t>
      </w:r>
    </w:p>
    <w:p>
      <w:pPr>
        <w:keepLines w:val="0"/>
      </w:pPr>
      <w:r>
        <w:t>Die Mandantin brachte einen Vorschuss von 1500,00 EUR per Überweisung auf das Geschäftskonto auf den Weg. Vollmacht und Identitätsprüfung wurden am selben Tag abgeschlossen. Wiedervorlage zur Reaktion Ralfs: 23.06.2026, 09:00 Uhr.</w:t>
      </w:r>
    </w:p>
    <w:sectPr w:rsidR="00FC693F" w:rsidRPr="0006063C" w:rsidSect="00034616">
      <w:headerReference w:type="default" r:id="rId9"/>
      <w:footerReference w:type="default" r:id="rId10"/>
      <w:pgSz w:w="12240" w:h="15840"/>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Susanne Voll-Herzberg, Rechtsanwältin und Fachanwältin für Erbrecht | Anderkonto DE27 1002 0500 0088 4100 17 | BIC BFSWDE33BER | St.-Nr. 34/582/01947 | Berufshaftpflicht: JurAssekuranz AG, Berlin</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Kanzlei Voll-Herzberg</w:t>
          </w:r>
        </w:p>
        <w:p>
          <w:pPr>
            <w:spacing w:after="0"/>
          </w:pPr>
          <w:r>
            <w:rPr>
              <w:color w:val="6B7378"/>
              <w:sz w:val="15"/>
            </w:rPr>
            <w:t>Erbrecht und Medienrecht | Münzstraße 21 | 10178 Berlin</w:t>
          </w:r>
        </w:p>
      </w:tc>
      <w:tc>
        <w:tcPr>
          <w:tcW w:type="dxa" w:w="4706"/>
        </w:tcPr>
        <w:p>
          <w:pPr>
            <w:spacing w:after="20"/>
            <w:jc w:val="right"/>
          </w:pPr>
          <w:r>
            <w:rPr>
              <w:b/>
              <w:color w:val="17324D"/>
              <w:sz w:val="18"/>
            </w:rPr>
            <w:t>Nachlass Lohse</w:t>
          </w:r>
        </w:p>
        <w:p>
          <w:pPr>
            <w:spacing w:after="0"/>
            <w:jc w:val="right"/>
          </w:pPr>
          <w:r>
            <w:rPr>
              <w:color w:val="6B7378"/>
              <w:sz w:val="15"/>
            </w:rPr>
            <w:t>Aktenzeichen 26-ERB-0417</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Kanzlei Voll-Herzberg</dc:creator>
  <cp:keywords/>
  <dc:description>generated by python-docx</dc:description>
  <cp:lastModifiedBy>Kanzlei Voll-Herzberg</cp:lastModifiedBy>
  <cp:revision>1</cp:revision>
  <dcterms:created xsi:type="dcterms:W3CDTF">2026-07-15T12:00:00Z</dcterms:created>
  <dcterms:modified xsi:type="dcterms:W3CDTF">2026-07-15T12:00:00Z</dcterms:modified>
  <cp:category/>
</cp:coreProperties>
</file>