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Chronologie und Belegstand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Stand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06.07.2026, 16:20 Uhr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Grundsatz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Belegte Tatsachen, Parteibehauptungen und technische Annahmen werden getrennt geführt.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Bearbeitung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Mina Duarte / Dr. Susanne Voll-Herzberg</w:t>
            </w:r>
          </w:p>
        </w:tc>
      </w:tr>
    </w:tbl>
    <w:p/>
    <w:p>
      <w:pPr>
        <w:pStyle w:val="Heading1"/>
      </w:pPr>
      <w:r>
        <w:t>1. Zeitachse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Datum und Uhrzeit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Vorgang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Quelle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Belegstatus oder offene Frage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12.09.2021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Eigenhändiges Testament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Original in Kanzleitresor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Papier und Unterschrift sichtbar; Auslegung offen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14.02.2025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Letzte bekannte Fotoarchiv-Inventur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Armins Ausdruck Ablage A-7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Bestand 18,4 TB; Folgestand fehlt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03.05.2026, 06:35 Uhr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Tod Armin Lohse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Sterbeurkunde S 1184/2026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belegt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04.05.2026, 21:18 Uhr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Änderungszeit verschlüsselter Container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Fundnotiz und Systemfoto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Ursache und Zeitzone prüfen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08.05.2026, etwa 18:10 Uhr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Ralf nimmt Studiorechner mit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Eva und Nachbarin Luise Henkel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Herausgabe streitig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14.05.2026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Hinweis auf Passwortsafe im Notizbuch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Fotoprotokoll Eva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Masterpasswort fehlt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02.06.2026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Nordfenster erstellt Abrechnung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Abrechnung NF-2026-0518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7840,00 EUR zurückgehalten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10.06.2026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Stadtsparkasse setzt Sperrvermerk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Bankmitteilung NL-6604-26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Saldo und Lastschriften bestätigt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18.06.2026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Mandatsaufnahme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Stück 01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Vollmacht liegt vor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20.06.2026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Voranfrage Nachlassgericht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E-Mail Geschäftsstelle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noch kein vollständiger Antrag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24.06.2026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Ralf lehnt Herausgabe ab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E-Mail 19:03 Uhr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eigene Bearbeitungsrechte behauptet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25.06.2026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Nordfenster fordert Erbnachweis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E-Mail 09:42 Uhr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Auszahlung weiter gesperrt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30.06.2026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Jana bittet um Beteiligung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E-Mail 21:12 Uhr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Leica und Kindheitsarchiv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05.07.2026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Galerieplattform-Ausdruck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PDF-Anlage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Zugriff durch Ralf zu protokollieren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06.07.2026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Akte technisch konsolidiert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Aktenvermerk</w:t>
            </w:r>
          </w:p>
        </w:tc>
        <w:tc>
          <w:tcPr>
            <w:tcW w:type="dxa" w:w="24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Spiegelung weiterhin offen</w:t>
            </w:r>
          </w:p>
        </w:tc>
      </w:tr>
    </w:tbl>
    <w:p>
      <w:pPr>
        <w:pStyle w:val="Heading1"/>
      </w:pPr>
      <w:r>
        <w:t>2. Widerspruchsliste</w:t>
      </w:r>
    </w:p>
    <w:p>
      <w:pPr>
        <w:keepLines w:val="0"/>
      </w:pPr>
      <w:r>
        <w:t>Der Todestag ist in sämtlichen Arbeitsstücken verbindlich der 03.05.2026. Bei jeder späteren Datenbewegung ist deshalb zu prüfen, ob sie automatisch, durch Ralf oder durch einen weiteren Zugang ausgelöst wurde.</w:t>
      </w:r>
    </w:p>
    <w:p>
      <w:pPr>
        <w:keepLines w:val="0"/>
      </w:pPr>
      <w:r>
        <w:t>Ralf bezeichnet seine Tätigkeit abwechselnd als Sicherung, Retusche und Mitbearbeitung. Rechnungen belegen einzelne Retuscheaufträge, aber keine pauschale Übertragung des Archivs. Diese Tatsachen werden ohne rechtliche Vorfestlegung erhoben.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Dr. Susanne Voll-Herzberg, Rechtsanwältin und Fachanwältin für Erbrecht | Anderkonto DE27 1002 0500 0088 4100 17 | BIC BFSWDE33BER | St.-Nr. 34/582/01947 | Berufshaftpflicht: JurAssekuranz AG, Berlin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Kanzlei Voll-Herzberg</w:t>
          </w:r>
        </w:p>
        <w:p>
          <w:pPr>
            <w:spacing w:after="0"/>
          </w:pPr>
          <w:r>
            <w:rPr>
              <w:color w:val="6B7378"/>
              <w:sz w:val="15"/>
            </w:rPr>
            <w:t>Erbrecht und Medienrecht | Münzstraße 21 | 10178 Berlin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Lohse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26-ERB-0417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Kanzlei Voll-Herzberg</dc:creator>
  <cp:keywords/>
  <dc:description>generated by python-docx</dc:description>
  <cp:lastModifiedBy>Kanzlei Voll-Herzberg</cp:lastModifiedBy>
  <cp:revision>1</cp:revision>
  <dcterms:created xsi:type="dcterms:W3CDTF">2026-07-15T12:00:00Z</dcterms:created>
  <dcterms:modified xsi:type="dcterms:W3CDTF">2026-07-15T12:00:00Z</dcterms:modified>
  <cp:category/>
</cp:coreProperties>
</file>