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Fristen- und Wiedervorlagenblatt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87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Stand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07.07.2026, 08:15 Uhr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Kalenderführung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Mina Duarte; Vier-Augen-Kontrolle durch Dr. Voll-Herzberg</w:t>
            </w:r>
          </w:p>
        </w:tc>
      </w:tr>
      <w:tr>
        <w:tc>
          <w:tcPr>
            <w:tcW w:type="dxa" w:w="4872"/>
            <w:shd w:fill="F2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Hinweis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Gesetzliche, vertragliche und interne Termine sind getrennt gekennzeichnet.</w:t>
            </w:r>
          </w:p>
        </w:tc>
      </w:tr>
    </w:tbl>
    <w:p/>
    <w:p>
      <w:pPr>
        <w:pStyle w:val="Heading1"/>
      </w:pPr>
      <w:r>
        <w:t>1. Laufende Termine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Datum / Uhrzeit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Art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Vorgang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Verantwortlich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Status und nächste Handlung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07.07.2026, 12:00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vertraglich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Galerieplattform Jahresabo 89,00 EUR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Eva / Bank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Lastschrift widersprechen oder Vertragsinhaber klären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09.07.2026, 12:00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gesetzt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Bestätigung Sicherungstermin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Ralf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Entwurf Stück 09 nach Freigabe versenden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13.07.2026, 10:00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vorgeschlagen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IT-Sicherung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Nissen / Beteiligte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Raum und Verwahrung bestätigen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15.07.2026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vertraglich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Cloudspeicher 12,00 EUR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Kanzlei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Bestand vor Kündigung sichern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18.07.2026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gesetzt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Auskunft und Übergabe Ralf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Ralf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Zugangsnachweis prüfen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22.07.2026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Wiedervorlage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Nordfenster Erbnachweis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Marlene Voß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Zwischenanweisung abstimmen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31.07.2026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vertraglich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Auftrag Ahlers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Eva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Originalvertrag und Rückzahlungsrisiko prüfen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31.07.2026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gerichtlich vorbereitet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Eidesstattliche Versicherung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Eva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Termin und Originale koordinieren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03.08.2026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intern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Fundkette Notizzettel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Kanzlei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Rückseitenfoto und Original anmahnen</w:t>
            </w:r>
          </w:p>
        </w:tc>
      </w:tr>
    </w:tbl>
    <w:p>
      <w:pPr>
        <w:pStyle w:val="Heading1"/>
      </w:pPr>
      <w:r>
        <w:t>2. Kontrollvermerke</w:t>
      </w:r>
    </w:p>
    <w:p>
      <w:pPr>
        <w:keepLines w:val="0"/>
      </w:pPr>
      <w:r>
        <w:t>Der Eintrag zur Ausschlagungsfrist wird nicht als abgelaufen behandelt, solange Zugang, Berufungsgrund und mögliche Kenntniswechsel nicht vollständig dokumentiert sind. Ein eigener Fristenvermerk wird nach Eingang der Eröffnungsmitteilung erstellt.</w:t>
      </w:r>
    </w:p>
    <w:p>
      <w:pPr>
        <w:keepLines w:val="0"/>
      </w:pPr>
      <w:r>
        <w:t>Postausgang vom 07.07.2026 ist erst nach dokumentierter anwaltlicher Freigabe auszulösen. Zustellungsnachweise werden als PDF und E-Mail-Datei zur Akte genommen.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Dr. Susanne Voll-Herzberg, Rechtsanwältin und Fachanwältin für Erbrecht | Anderkonto DE27 1002 0500 0088 4100 17 | BIC BFSWDE33BER | St.-Nr. 34/582/01947 | Berufshaftpflicht: JurAssekuranz AG, Berlin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Kanzlei Voll-Herzberg</w:t>
          </w:r>
        </w:p>
        <w:p>
          <w:pPr>
            <w:spacing w:after="0"/>
          </w:pPr>
          <w:r>
            <w:rPr>
              <w:color w:val="6B7378"/>
              <w:sz w:val="15"/>
            </w:rPr>
            <w:t>Erbrecht und Medienrecht | Münzstraße 21 | 10178 Berlin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Lohse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26-ERB-0417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Kanzlei Voll-Herzberg</dc:creator>
  <cp:keywords/>
  <dc:description>generated by python-docx</dc:description>
  <cp:lastModifiedBy>Kanzlei Voll-Herzberg</cp:lastModifiedBy>
  <cp:revision>1</cp:revision>
  <dcterms:created xsi:type="dcterms:W3CDTF">2026-07-15T12:00:00Z</dcterms:created>
  <dcterms:modified xsi:type="dcterms:W3CDTF">2026-07-15T12:00:00Z</dcterms:modified>
  <cp:category/>
</cp:coreProperties>
</file>