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Nachlass Armin Vogel</w:t>
      </w:r>
    </w:p>
    <w:p>
      <w:pPr>
        <w:pStyle w:val="Heading2"/>
        <w:widowControl/>
      </w:pPr>
      <w:r>
        <w:rPr>
          <w:rFonts w:ascii="Arial" w:hAnsi="Arial" w:eastAsia="Arial"/>
        </w:rPr>
        <w:t>Vermögen</w:t>
      </w:r>
    </w:p>
    <w:tbl>
      <w:tblPr>
        <w:tblStyle w:val="TableGrid"/>
        <w:tblW w:type="auto" w:w="0"/>
        <w:jc w:val="center"/>
        <w:tblLayout w:type="autofit"/>
        <w:tblLook w:firstColumn="1" w:firstRow="1" w:lastColumn="0" w:lastRow="0" w:noHBand="0" w:noVBand="1" w:val="04A0"/>
      </w:tblPr>
      <w:tblGrid>
        <w:gridCol w:w="4536"/>
        <w:gridCol w:w="4536"/>
      </w:tblGrid>
      <w:tr>
        <w:trPr>
          <w:tblHeader w:val="true"/>
          <w:tblHeader w:val="true"/>
          <w:tblHeader w:val="true"/>
          <w:tblHeader w:val="true"/>
          <w:tblHeader w:val="true"/>
        </w:trPr>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Gegenstand</w:t>
            </w:r>
          </w:p>
        </w:tc>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Wert</w:t>
            </w:r>
          </w:p>
        </w:tc>
      </w:tr>
      <w:tr>
        <w:tc>
          <w:tcPr>
            <w:tcW w:type="dxa" w:w="4536"/>
            <w:vAlign w:val="center"/>
            <w:tcMar>
              <w:top w:w="90" w:type="dxa"/>
              <w:start w:w="100" w:type="dxa"/>
              <w:bottom w:w="90" w:type="dxa"/>
              <w:end w:w="100" w:type="dxa"/>
            </w:tcMar>
          </w:tcPr>
          <w:p>
            <w:pPr>
              <w:spacing w:after="30"/>
            </w:pPr>
            <w:r>
              <w:rPr>
                <w:rFonts w:ascii="Arial" w:hAnsi="Arial"/>
                <w:sz w:val="17"/>
              </w:rPr>
              <w:t>Geschäftsanteile Vogel Lichttechnik GmbH</w:t>
            </w:r>
          </w:p>
        </w:tc>
        <w:tc>
          <w:tcPr>
            <w:tcW w:type="dxa" w:w="4536"/>
            <w:vAlign w:val="center"/>
            <w:tcMar>
              <w:top w:w="90" w:type="dxa"/>
              <w:start w:w="100" w:type="dxa"/>
              <w:bottom w:w="90" w:type="dxa"/>
              <w:end w:w="100" w:type="dxa"/>
            </w:tcMar>
          </w:tcPr>
          <w:p>
            <w:pPr>
              <w:spacing w:after="30"/>
            </w:pPr>
            <w:r>
              <w:rPr>
                <w:rFonts w:ascii="Arial" w:hAnsi="Arial"/>
                <w:sz w:val="17"/>
              </w:rPr>
              <w:t>1.800.000,00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Eigentumswohnung Karlsruhe-Weststadt</w:t>
            </w:r>
          </w:p>
        </w:tc>
        <w:tc>
          <w:tcPr>
            <w:tcW w:type="dxa" w:w="4536"/>
            <w:vAlign w:val="center"/>
            <w:tcMar>
              <w:top w:w="90" w:type="dxa"/>
              <w:start w:w="100" w:type="dxa"/>
              <w:bottom w:w="90" w:type="dxa"/>
              <w:end w:w="100" w:type="dxa"/>
            </w:tcMar>
            <w:shd w:fill="F2F4F5"/>
          </w:tcPr>
          <w:p>
            <w:pPr>
              <w:spacing w:after="30"/>
            </w:pPr>
            <w:r>
              <w:rPr>
                <w:rFonts w:ascii="Arial" w:hAnsi="Arial"/>
                <w:sz w:val="17"/>
              </w:rPr>
              <w:t>620.000,00 EUR</w:t>
            </w:r>
          </w:p>
        </w:tc>
      </w:tr>
      <w:tr>
        <w:tc>
          <w:tcPr>
            <w:tcW w:type="dxa" w:w="4536"/>
            <w:vAlign w:val="center"/>
            <w:tcMar>
              <w:top w:w="90" w:type="dxa"/>
              <w:start w:w="100" w:type="dxa"/>
              <w:bottom w:w="90" w:type="dxa"/>
              <w:end w:w="100" w:type="dxa"/>
            </w:tcMar>
          </w:tcPr>
          <w:p>
            <w:pPr>
              <w:spacing w:after="30"/>
            </w:pPr>
            <w:r>
              <w:rPr>
                <w:rFonts w:ascii="Arial" w:hAnsi="Arial"/>
                <w:sz w:val="17"/>
              </w:rPr>
              <w:t>Wertpapierdepot</w:t>
            </w:r>
          </w:p>
        </w:tc>
        <w:tc>
          <w:tcPr>
            <w:tcW w:type="dxa" w:w="4536"/>
            <w:vAlign w:val="center"/>
            <w:tcMar>
              <w:top w:w="90" w:type="dxa"/>
              <w:start w:w="100" w:type="dxa"/>
              <w:bottom w:w="90" w:type="dxa"/>
              <w:end w:w="100" w:type="dxa"/>
            </w:tcMar>
          </w:tcPr>
          <w:p>
            <w:pPr>
              <w:spacing w:after="30"/>
            </w:pPr>
            <w:r>
              <w:rPr>
                <w:rFonts w:ascii="Arial" w:hAnsi="Arial"/>
                <w:sz w:val="17"/>
              </w:rPr>
              <w:t>410.000,00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Oldtimer Mercedes 280 SL</w:t>
            </w:r>
          </w:p>
        </w:tc>
        <w:tc>
          <w:tcPr>
            <w:tcW w:type="dxa" w:w="4536"/>
            <w:vAlign w:val="center"/>
            <w:tcMar>
              <w:top w:w="90" w:type="dxa"/>
              <w:start w:w="100" w:type="dxa"/>
              <w:bottom w:w="90" w:type="dxa"/>
              <w:end w:w="100" w:type="dxa"/>
            </w:tcMar>
            <w:shd w:fill="F2F4F5"/>
          </w:tcPr>
          <w:p>
            <w:pPr>
              <w:spacing w:after="30"/>
            </w:pPr>
            <w:r>
              <w:rPr>
                <w:rFonts w:ascii="Arial" w:hAnsi="Arial"/>
                <w:sz w:val="17"/>
              </w:rPr>
              <w:t>92.000,00 EUR</w:t>
            </w:r>
          </w:p>
        </w:tc>
      </w:tr>
      <w:tr>
        <w:tc>
          <w:tcPr>
            <w:tcW w:type="dxa" w:w="4536"/>
            <w:vAlign w:val="center"/>
            <w:tcMar>
              <w:top w:w="90" w:type="dxa"/>
              <w:start w:w="100" w:type="dxa"/>
              <w:bottom w:w="90" w:type="dxa"/>
              <w:end w:w="100" w:type="dxa"/>
            </w:tcMar>
          </w:tcPr>
          <w:p>
            <w:pPr>
              <w:spacing w:after="30"/>
            </w:pPr>
            <w:r>
              <w:rPr>
                <w:rFonts w:ascii="Arial" w:hAnsi="Arial"/>
                <w:sz w:val="17"/>
              </w:rPr>
              <w:t>Girokonto</w:t>
            </w:r>
          </w:p>
        </w:tc>
        <w:tc>
          <w:tcPr>
            <w:tcW w:type="dxa" w:w="4536"/>
            <w:vAlign w:val="center"/>
            <w:tcMar>
              <w:top w:w="90" w:type="dxa"/>
              <w:start w:w="100" w:type="dxa"/>
              <w:bottom w:w="90" w:type="dxa"/>
              <w:end w:w="100" w:type="dxa"/>
            </w:tcMar>
          </w:tcPr>
          <w:p>
            <w:pPr>
              <w:spacing w:after="30"/>
            </w:pPr>
            <w:r>
              <w:rPr>
                <w:rFonts w:ascii="Arial" w:hAnsi="Arial"/>
                <w:sz w:val="17"/>
              </w:rPr>
              <w:t>38.400,00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Darlehen an GmbH</w:t>
            </w:r>
          </w:p>
        </w:tc>
        <w:tc>
          <w:tcPr>
            <w:tcW w:type="dxa" w:w="4536"/>
            <w:vAlign w:val="center"/>
            <w:tcMar>
              <w:top w:w="90" w:type="dxa"/>
              <w:start w:w="100" w:type="dxa"/>
              <w:bottom w:w="90" w:type="dxa"/>
              <w:end w:w="100" w:type="dxa"/>
            </w:tcMar>
            <w:shd w:fill="F2F4F5"/>
          </w:tcPr>
          <w:p>
            <w:pPr>
              <w:spacing w:after="30"/>
            </w:pPr>
            <w:r>
              <w:rPr>
                <w:rFonts w:ascii="Arial" w:hAnsi="Arial"/>
                <w:sz w:val="17"/>
              </w:rPr>
              <w:t>220.000,00 EUR</w:t>
            </w:r>
          </w:p>
        </w:tc>
      </w:tr>
      <w:tr>
        <w:tc>
          <w:tcPr>
            <w:tcW w:type="dxa" w:w="4536"/>
            <w:vAlign w:val="center"/>
            <w:tcMar>
              <w:top w:w="90" w:type="dxa"/>
              <w:start w:w="100" w:type="dxa"/>
              <w:bottom w:w="90" w:type="dxa"/>
              <w:end w:w="100" w:type="dxa"/>
            </w:tcMar>
          </w:tcPr>
          <w:p>
            <w:pPr>
              <w:spacing w:after="30"/>
            </w:pPr>
            <w:r>
              <w:rPr>
                <w:rFonts w:ascii="Arial" w:hAnsi="Arial"/>
                <w:sz w:val="17"/>
              </w:rPr>
              <w:t>Verbindlichkeiten</w:t>
            </w:r>
          </w:p>
        </w:tc>
        <w:tc>
          <w:tcPr>
            <w:tcW w:type="dxa" w:w="4536"/>
            <w:vAlign w:val="center"/>
            <w:tcMar>
              <w:top w:w="90" w:type="dxa"/>
              <w:start w:w="100" w:type="dxa"/>
              <w:bottom w:w="90" w:type="dxa"/>
              <w:end w:w="100" w:type="dxa"/>
            </w:tcMar>
          </w:tcPr>
          <w:p>
            <w:pPr>
              <w:spacing w:after="30"/>
            </w:pPr>
            <w:r>
              <w:rPr>
                <w:rFonts w:ascii="Arial" w:hAnsi="Arial"/>
                <w:sz w:val="17"/>
              </w:rPr>
              <w:t>-144.000,00 EUR</w:t>
            </w:r>
          </w:p>
        </w:tc>
      </w:tr>
    </w:tbl>
    <w:p>
      <w:pPr>
        <w:pStyle w:val="Heading2"/>
        <w:widowControl/>
      </w:pPr>
      <w:r>
        <w:rPr>
          <w:rFonts w:ascii="Arial" w:hAnsi="Arial" w:eastAsia="Arial"/>
        </w:rPr>
        <w:t>Beteiligte Ansprüche</w:t>
      </w:r>
    </w:p>
    <w:p>
      <w:pPr>
        <w:widowControl/>
        <w:jc w:val="left"/>
      </w:pPr>
      <w:r>
        <w:rPr>
          <w:rFonts w:ascii="Arial" w:hAnsi="Arial" w:eastAsia="Arial"/>
        </w:rPr>
        <w:t>Fiona beantragt einen Erbschein als Alleinerbin, hilfsweise als Ehefrau und testamentarisch Begünstigte. Beate meldet sich beim Nachlassgericht und verweist auf das gemeinschaftliche Testament von 1994. Dana macht geltend, Armin habe ihr 2014 ausdrücklich die Hälfte zugewandt; die Scheidung von 2012 liege vor dem Testament und könne die Zuwendung daher nicht automatisch beseitigen.</w:t>
      </w:r>
    </w:p>
    <w:p>
      <w:pPr>
        <w:pStyle w:val="Heading2"/>
        <w:widowControl/>
      </w:pPr>
      <w:r>
        <w:rPr>
          <w:rFonts w:ascii="Arial" w:hAnsi="Arial" w:eastAsia="Arial"/>
        </w:rPr>
        <w:t>Ehe Armin und Fiona</w:t>
      </w:r>
    </w:p>
    <w:p>
      <w:pPr>
        <w:widowControl/>
        <w:jc w:val="left"/>
      </w:pPr>
      <w:r>
        <w:rPr>
          <w:rFonts w:ascii="Arial" w:hAnsi="Arial" w:eastAsia="Arial"/>
        </w:rPr>
        <w:t>Eheschließung am 05.11.2021 in Baden-Baden. Keine Kinder. Ehevertrag bisher nicht gefunden. Armin war bei Eheschließung 59, Fiona 32. Dana behauptet, die Ehe sei "nur aus Trotz" geschlossen worden. Fiona legt gemeinsame Steuerbescheide, Fotos, Mietvertrag und Patientenverfügung vor.</w:t>
      </w:r>
    </w:p>
    <w:p>
      <w:pPr>
        <w:pStyle w:val="Heading2"/>
        <w:widowControl/>
      </w:pPr>
      <w:r>
        <w:rPr>
          <w:rFonts w:ascii="Arial" w:hAnsi="Arial" w:eastAsia="Arial"/>
        </w:rPr>
        <w:t>Offene Beteiligtenfragen</w:t>
      </w:r>
    </w:p>
    <w:p>
      <w:pPr>
        <w:widowControl/>
        <w:jc w:val="left"/>
      </w:pPr>
      <w:r>
        <w:rPr>
          <w:rFonts w:ascii="Arial" w:hAnsi="Arial" w:eastAsia="Arial"/>
        </w:rPr>
        <w:t>Zu klären sind die Wirkungen und das Verhältnis der Testamente, Fionas Ehegattenstellung, der Güterstand und die vollständige gesetzliche Verwandtenlinie. Die frühere Stiefbeziehung wird als historische Familienverbindung erfasst und nicht mit einer Abstammung gleichgesetzt.</w:t>
      </w:r>
    </w:p>
    <w:p>
      <w:pPr>
        <w:pStyle w:val="Heading1"/>
        <w:widowControl/>
      </w:pPr>
      <w:r>
        <w:rPr>
          <w:rFonts w:ascii="Arial" w:hAnsi="Arial" w:eastAsia="Arial"/>
        </w:rPr>
        <w:t>4. Beleg- und Verfügungsstand</w:t>
      </w:r>
    </w:p>
    <w:p>
      <w:pPr>
        <w:keepLines w:val="0"/>
        <w:widowControl/>
      </w:pPr>
      <w:r>
        <w:rPr>
          <w:rFonts w:ascii="Arial" w:hAnsi="Arial" w:eastAsia="Arial"/>
        </w:rPr>
        <w:t>Die Werte sind Stichtags- und Arbeitswerte. Die GmbH-Beteiligung beruht auf einem Schreiben des Steuerberaters vom 30.05.2026; ein unabhängiges Gutachten fehlt. Die Wohnung wurde am 27.06.2026 besichtigt. Das Depot ist durch die Bankauskunft Stück 16 belegt. Der Oldtimer steht in einer verschlossenen Halle in Rheinstetten; Fahrzeugbrief und Schlüssel befinden sich nach Fionas Angabe im Bankschließfach.</w:t>
      </w:r>
    </w:p>
    <w:p>
      <w:pPr>
        <w:keepLines w:val="0"/>
        <w:widowControl/>
      </w:pPr>
      <w:r>
        <w:rPr>
          <w:rFonts w:ascii="Arial" w:hAnsi="Arial" w:eastAsia="Arial"/>
        </w:rPr>
        <w:t>Nach dem Tod wurden 8400,00 EUR vom Gemeinschaftskonto für Bestattung, Hausgeld und Klinikrechnung verwendet. Ob und in welchem Umfang der Betrag dem Nachlass oder Fiona persönlich zuzuordnen ist, bleibt anhand der Rechnungen und Kontoinhaberschaft zu klären.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blHeader w:val="true"/>
          <w:tblHeader w:val="true"/>
        </w:trPr>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Position</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Arbeitswert</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Primärbeleg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Noch anzufordern</w:t>
            </w:r>
          </w:p>
        </w:tc>
      </w:tr>
      <w:tr>
        <w:tc>
          <w:tcPr>
            <w:tcW w:type="dxa" w:w="2353"/>
            <w:vAlign w:val="center"/>
            <w:tcMar>
              <w:top w:w="90" w:type="dxa"/>
              <w:start w:w="100" w:type="dxa"/>
              <w:bottom w:w="90" w:type="dxa"/>
              <w:end w:w="100" w:type="dxa"/>
            </w:tcMar>
          </w:tcPr>
          <w:p>
            <w:pPr>
              <w:spacing w:after="30"/>
            </w:pPr>
            <w:r>
              <w:rPr>
                <w:rFonts w:ascii="Arial" w:hAnsi="Arial"/>
                <w:sz w:val="17"/>
              </w:rPr>
              <w:t>Vogel Lichttechnik GmbH, 60 Prozent</w:t>
            </w:r>
          </w:p>
        </w:tc>
        <w:tc>
          <w:tcPr>
            <w:tcW w:type="dxa" w:w="2353"/>
            <w:vAlign w:val="center"/>
            <w:tcMar>
              <w:top w:w="90" w:type="dxa"/>
              <w:start w:w="100" w:type="dxa"/>
              <w:bottom w:w="90" w:type="dxa"/>
              <w:end w:w="100" w:type="dxa"/>
            </w:tcMar>
          </w:tcPr>
          <w:p>
            <w:pPr>
              <w:spacing w:after="30"/>
            </w:pPr>
            <w:r>
              <w:rPr>
                <w:rFonts w:ascii="Arial" w:hAnsi="Arial"/>
                <w:sz w:val="17"/>
              </w:rPr>
              <w:t>1800000,00 EUR</w:t>
            </w:r>
          </w:p>
        </w:tc>
        <w:tc>
          <w:tcPr>
            <w:tcW w:type="dxa" w:w="2353"/>
            <w:vAlign w:val="center"/>
            <w:tcMar>
              <w:top w:w="90" w:type="dxa"/>
              <w:start w:w="100" w:type="dxa"/>
              <w:bottom w:w="90" w:type="dxa"/>
              <w:end w:w="100" w:type="dxa"/>
            </w:tcMar>
          </w:tcPr>
          <w:p>
            <w:pPr>
              <w:spacing w:after="30"/>
            </w:pPr>
            <w:r>
              <w:rPr>
                <w:rFonts w:ascii="Arial" w:hAnsi="Arial"/>
                <w:sz w:val="17"/>
              </w:rPr>
              <w:t>Gesellschafterliste 2024</w:t>
            </w:r>
          </w:p>
        </w:tc>
        <w:tc>
          <w:tcPr>
            <w:tcW w:type="dxa" w:w="2353"/>
            <w:vAlign w:val="center"/>
            <w:tcMar>
              <w:top w:w="90" w:type="dxa"/>
              <w:start w:w="100" w:type="dxa"/>
              <w:bottom w:w="90" w:type="dxa"/>
              <w:end w:w="100" w:type="dxa"/>
            </w:tcMar>
          </w:tcPr>
          <w:p>
            <w:pPr>
              <w:spacing w:after="30"/>
            </w:pPr>
            <w:r>
              <w:rPr>
                <w:rFonts w:ascii="Arial" w:hAnsi="Arial"/>
                <w:sz w:val="17"/>
              </w:rPr>
              <w:t>Jahresabschlüsse und Bewertung</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Wohnung Sophienstraße</w:t>
            </w:r>
          </w:p>
        </w:tc>
        <w:tc>
          <w:tcPr>
            <w:tcW w:type="dxa" w:w="2353"/>
            <w:vAlign w:val="center"/>
            <w:tcMar>
              <w:top w:w="90" w:type="dxa"/>
              <w:start w:w="100" w:type="dxa"/>
              <w:bottom w:w="90" w:type="dxa"/>
              <w:end w:w="100" w:type="dxa"/>
            </w:tcMar>
            <w:shd w:fill="F2F4F5"/>
          </w:tcPr>
          <w:p>
            <w:pPr>
              <w:spacing w:after="30"/>
            </w:pPr>
            <w:r>
              <w:rPr>
                <w:rFonts w:ascii="Arial" w:hAnsi="Arial"/>
                <w:sz w:val="17"/>
              </w:rPr>
              <w:t>620000,00 EUR</w:t>
            </w:r>
          </w:p>
        </w:tc>
        <w:tc>
          <w:tcPr>
            <w:tcW w:type="dxa" w:w="2353"/>
            <w:vAlign w:val="center"/>
            <w:tcMar>
              <w:top w:w="90" w:type="dxa"/>
              <w:start w:w="100" w:type="dxa"/>
              <w:bottom w:w="90" w:type="dxa"/>
              <w:end w:w="100" w:type="dxa"/>
            </w:tcMar>
            <w:shd w:fill="F2F4F5"/>
          </w:tcPr>
          <w:p>
            <w:pPr>
              <w:spacing w:after="30"/>
            </w:pPr>
            <w:r>
              <w:rPr>
                <w:rFonts w:ascii="Arial" w:hAnsi="Arial"/>
                <w:sz w:val="17"/>
              </w:rPr>
              <w:t>Grundbuch und Maklerbrief</w:t>
            </w:r>
          </w:p>
        </w:tc>
        <w:tc>
          <w:tcPr>
            <w:tcW w:type="dxa" w:w="2353"/>
            <w:vAlign w:val="center"/>
            <w:tcMar>
              <w:top w:w="90" w:type="dxa"/>
              <w:start w:w="100" w:type="dxa"/>
              <w:bottom w:w="90" w:type="dxa"/>
              <w:end w:w="100" w:type="dxa"/>
            </w:tcMar>
            <w:shd w:fill="F2F4F5"/>
          </w:tcPr>
          <w:p>
            <w:pPr>
              <w:spacing w:after="30"/>
            </w:pPr>
            <w:r>
              <w:rPr>
                <w:rFonts w:ascii="Arial" w:hAnsi="Arial"/>
                <w:sz w:val="17"/>
              </w:rPr>
              <w:t>Verkehrswertgutachten</w:t>
            </w:r>
          </w:p>
        </w:tc>
      </w:tr>
      <w:tr>
        <w:tc>
          <w:tcPr>
            <w:tcW w:type="dxa" w:w="2353"/>
            <w:vAlign w:val="center"/>
            <w:tcMar>
              <w:top w:w="90" w:type="dxa"/>
              <w:start w:w="100" w:type="dxa"/>
              <w:bottom w:w="90" w:type="dxa"/>
              <w:end w:w="100" w:type="dxa"/>
            </w:tcMar>
          </w:tcPr>
          <w:p>
            <w:pPr>
              <w:spacing w:after="30"/>
            </w:pPr>
            <w:r>
              <w:rPr>
                <w:rFonts w:ascii="Arial" w:hAnsi="Arial"/>
                <w:sz w:val="17"/>
              </w:rPr>
              <w:t>Depot</w:t>
            </w:r>
          </w:p>
        </w:tc>
        <w:tc>
          <w:tcPr>
            <w:tcW w:type="dxa" w:w="2353"/>
            <w:vAlign w:val="center"/>
            <w:tcMar>
              <w:top w:w="90" w:type="dxa"/>
              <w:start w:w="100" w:type="dxa"/>
              <w:bottom w:w="90" w:type="dxa"/>
              <w:end w:w="100" w:type="dxa"/>
            </w:tcMar>
          </w:tcPr>
          <w:p>
            <w:pPr>
              <w:spacing w:after="30"/>
            </w:pPr>
            <w:r>
              <w:rPr>
                <w:rFonts w:ascii="Arial" w:hAnsi="Arial"/>
                <w:sz w:val="17"/>
              </w:rPr>
              <w:t>410284,61 EUR</w:t>
            </w:r>
          </w:p>
        </w:tc>
        <w:tc>
          <w:tcPr>
            <w:tcW w:type="dxa" w:w="2353"/>
            <w:vAlign w:val="center"/>
            <w:tcMar>
              <w:top w:w="90" w:type="dxa"/>
              <w:start w:w="100" w:type="dxa"/>
              <w:bottom w:w="90" w:type="dxa"/>
              <w:end w:w="100" w:type="dxa"/>
            </w:tcMar>
          </w:tcPr>
          <w:p>
            <w:pPr>
              <w:spacing w:after="30"/>
            </w:pPr>
            <w:r>
              <w:rPr>
                <w:rFonts w:ascii="Arial" w:hAnsi="Arial"/>
                <w:sz w:val="17"/>
              </w:rPr>
              <w:t>Bankauskunft 11.07.2026</w:t>
            </w:r>
          </w:p>
        </w:tc>
        <w:tc>
          <w:tcPr>
            <w:tcW w:type="dxa" w:w="2353"/>
            <w:vAlign w:val="center"/>
            <w:tcMar>
              <w:top w:w="90" w:type="dxa"/>
              <w:start w:w="100" w:type="dxa"/>
              <w:bottom w:w="90" w:type="dxa"/>
              <w:end w:w="100" w:type="dxa"/>
            </w:tcMar>
          </w:tcPr>
          <w:p>
            <w:pPr>
              <w:spacing w:after="30"/>
            </w:pPr>
            <w:r>
              <w:rPr>
                <w:rFonts w:ascii="Arial" w:hAnsi="Arial"/>
                <w:sz w:val="17"/>
              </w:rPr>
              <w:t>Stichtagskurse</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Gesellschafterdarlehen</w:t>
            </w:r>
          </w:p>
        </w:tc>
        <w:tc>
          <w:tcPr>
            <w:tcW w:type="dxa" w:w="2353"/>
            <w:vAlign w:val="center"/>
            <w:tcMar>
              <w:top w:w="90" w:type="dxa"/>
              <w:start w:w="100" w:type="dxa"/>
              <w:bottom w:w="90" w:type="dxa"/>
              <w:end w:w="100" w:type="dxa"/>
            </w:tcMar>
            <w:shd w:fill="F2F4F5"/>
          </w:tcPr>
          <w:p>
            <w:pPr>
              <w:spacing w:after="30"/>
            </w:pPr>
            <w:r>
              <w:rPr>
                <w:rFonts w:ascii="Arial" w:hAnsi="Arial"/>
                <w:sz w:val="17"/>
              </w:rPr>
              <w:t>220000,00 EUR</w:t>
            </w:r>
          </w:p>
        </w:tc>
        <w:tc>
          <w:tcPr>
            <w:tcW w:type="dxa" w:w="2353"/>
            <w:vAlign w:val="center"/>
            <w:tcMar>
              <w:top w:w="90" w:type="dxa"/>
              <w:start w:w="100" w:type="dxa"/>
              <w:bottom w:w="90" w:type="dxa"/>
              <w:end w:w="100" w:type="dxa"/>
            </w:tcMar>
            <w:shd w:fill="F2F4F5"/>
          </w:tcPr>
          <w:p>
            <w:pPr>
              <w:spacing w:after="30"/>
            </w:pPr>
            <w:r>
              <w:rPr>
                <w:rFonts w:ascii="Arial" w:hAnsi="Arial"/>
                <w:sz w:val="17"/>
              </w:rPr>
              <w:t>Saldenbestätigung GmbH</w:t>
            </w:r>
          </w:p>
        </w:tc>
        <w:tc>
          <w:tcPr>
            <w:tcW w:type="dxa" w:w="2353"/>
            <w:vAlign w:val="center"/>
            <w:tcMar>
              <w:top w:w="90" w:type="dxa"/>
              <w:start w:w="100" w:type="dxa"/>
              <w:bottom w:w="90" w:type="dxa"/>
              <w:end w:w="100" w:type="dxa"/>
            </w:tcMar>
            <w:shd w:fill="F2F4F5"/>
          </w:tcPr>
          <w:p>
            <w:pPr>
              <w:spacing w:after="30"/>
            </w:pPr>
            <w:r>
              <w:rPr>
                <w:rFonts w:ascii="Arial" w:hAnsi="Arial"/>
                <w:sz w:val="17"/>
              </w:rPr>
              <w:t>Fälligkeit und Zinsen</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Maren Heller, Rechtsanwältin und Fachanwältin für Erbrecht | Anderkonto DE68 6602 0500 0047 8200 31 | BIC BFSWDE33KRL | St.-Nr. 35/127/08421 | Berufshaftpflicht: JurAssekuranz AG,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