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Nachlass Clemens Radtke</w:t>
      </w:r>
    </w:p>
    <w:p>
      <w:pPr>
        <w:pStyle w:val="Heading2"/>
        <w:widowControl/>
      </w:pPr>
      <w:r>
        <w:rPr>
          <w:rFonts w:ascii="Arial" w:hAnsi="Arial" w:eastAsia="Arial"/>
        </w:rPr>
        <w:t>Vermögen</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Gegenstand</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Wert</w:t>
            </w:r>
          </w:p>
        </w:tc>
      </w:tr>
      <w:tr>
        <w:tc>
          <w:tcPr>
            <w:tcW w:type="dxa" w:w="4536"/>
            <w:vAlign w:val="center"/>
            <w:tcMar>
              <w:top w:w="90" w:type="dxa"/>
              <w:start w:w="100" w:type="dxa"/>
              <w:bottom w:w="90" w:type="dxa"/>
              <w:end w:w="100" w:type="dxa"/>
            </w:tcMar>
          </w:tcPr>
          <w:p>
            <w:pPr>
              <w:spacing w:after="30"/>
            </w:pPr>
            <w:r>
              <w:rPr>
                <w:rFonts w:ascii="Arial" w:hAnsi="Arial"/>
                <w:sz w:val="17"/>
              </w:rPr>
              <w:t>Architekturbüro Radtke Partneranteil</w:t>
            </w:r>
          </w:p>
        </w:tc>
        <w:tc>
          <w:tcPr>
            <w:tcW w:type="dxa" w:w="4536"/>
            <w:vAlign w:val="center"/>
            <w:tcMar>
              <w:top w:w="90" w:type="dxa"/>
              <w:start w:w="100" w:type="dxa"/>
              <w:bottom w:w="90" w:type="dxa"/>
              <w:end w:w="100" w:type="dxa"/>
            </w:tcMar>
          </w:tcPr>
          <w:p>
            <w:pPr>
              <w:spacing w:after="30"/>
            </w:pPr>
            <w:r>
              <w:rPr>
                <w:rFonts w:ascii="Arial" w:hAnsi="Arial"/>
                <w:sz w:val="17"/>
              </w:rPr>
              <w:t>480.000,00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Einfamilienhaus Durlach</w:t>
            </w:r>
          </w:p>
        </w:tc>
        <w:tc>
          <w:tcPr>
            <w:tcW w:type="dxa" w:w="4536"/>
            <w:vAlign w:val="center"/>
            <w:tcMar>
              <w:top w:w="90" w:type="dxa"/>
              <w:start w:w="100" w:type="dxa"/>
              <w:bottom w:w="90" w:type="dxa"/>
              <w:end w:w="100" w:type="dxa"/>
            </w:tcMar>
            <w:shd w:fill="F2F4F5"/>
          </w:tcPr>
          <w:p>
            <w:pPr>
              <w:spacing w:after="30"/>
            </w:pPr>
            <w:r>
              <w:rPr>
                <w:rFonts w:ascii="Arial" w:hAnsi="Arial"/>
                <w:sz w:val="17"/>
              </w:rPr>
              <w:t>870.000,00 EUR</w:t>
            </w:r>
          </w:p>
        </w:tc>
      </w:tr>
      <w:tr>
        <w:tc>
          <w:tcPr>
            <w:tcW w:type="dxa" w:w="4536"/>
            <w:vAlign w:val="center"/>
            <w:tcMar>
              <w:top w:w="90" w:type="dxa"/>
              <w:start w:w="100" w:type="dxa"/>
              <w:bottom w:w="90" w:type="dxa"/>
              <w:end w:w="100" w:type="dxa"/>
            </w:tcMar>
          </w:tcPr>
          <w:p>
            <w:pPr>
              <w:spacing w:after="30"/>
            </w:pPr>
            <w:r>
              <w:rPr>
                <w:rFonts w:ascii="Arial" w:hAnsi="Arial"/>
                <w:sz w:val="17"/>
              </w:rPr>
              <w:t>Kunstsammlung Bauhaus-Grafik</w:t>
            </w:r>
          </w:p>
        </w:tc>
        <w:tc>
          <w:tcPr>
            <w:tcW w:type="dxa" w:w="4536"/>
            <w:vAlign w:val="center"/>
            <w:tcMar>
              <w:top w:w="90" w:type="dxa"/>
              <w:start w:w="100" w:type="dxa"/>
              <w:bottom w:w="90" w:type="dxa"/>
              <w:end w:w="100" w:type="dxa"/>
            </w:tcMar>
          </w:tcPr>
          <w:p>
            <w:pPr>
              <w:spacing w:after="30"/>
            </w:pPr>
            <w:r>
              <w:rPr>
                <w:rFonts w:ascii="Arial" w:hAnsi="Arial"/>
                <w:sz w:val="17"/>
              </w:rPr>
              <w:t>160.000,00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Bankguthaben</w:t>
            </w:r>
          </w:p>
        </w:tc>
        <w:tc>
          <w:tcPr>
            <w:tcW w:type="dxa" w:w="4536"/>
            <w:vAlign w:val="center"/>
            <w:tcMar>
              <w:top w:w="90" w:type="dxa"/>
              <w:start w:w="100" w:type="dxa"/>
              <w:bottom w:w="90" w:type="dxa"/>
              <w:end w:w="100" w:type="dxa"/>
            </w:tcMar>
            <w:shd w:fill="F2F4F5"/>
          </w:tcPr>
          <w:p>
            <w:pPr>
              <w:spacing w:after="30"/>
            </w:pPr>
            <w:r>
              <w:rPr>
                <w:rFonts w:ascii="Arial" w:hAnsi="Arial"/>
                <w:sz w:val="17"/>
              </w:rPr>
              <w:t>88.000,00 EUR</w:t>
            </w:r>
          </w:p>
        </w:tc>
      </w:tr>
      <w:tr>
        <w:tc>
          <w:tcPr>
            <w:tcW w:type="dxa" w:w="4536"/>
            <w:vAlign w:val="center"/>
            <w:tcMar>
              <w:top w:w="90" w:type="dxa"/>
              <w:start w:w="100" w:type="dxa"/>
              <w:bottom w:w="90" w:type="dxa"/>
              <w:end w:w="100" w:type="dxa"/>
            </w:tcMar>
          </w:tcPr>
          <w:p>
            <w:pPr>
              <w:spacing w:after="30"/>
            </w:pPr>
            <w:r>
              <w:rPr>
                <w:rFonts w:ascii="Arial" w:hAnsi="Arial"/>
                <w:sz w:val="17"/>
              </w:rPr>
              <w:t>offene Einkommensteuer</w:t>
            </w:r>
          </w:p>
        </w:tc>
        <w:tc>
          <w:tcPr>
            <w:tcW w:type="dxa" w:w="4536"/>
            <w:vAlign w:val="center"/>
            <w:tcMar>
              <w:top w:w="90" w:type="dxa"/>
              <w:start w:w="100" w:type="dxa"/>
              <w:bottom w:w="90" w:type="dxa"/>
              <w:end w:w="100" w:type="dxa"/>
            </w:tcMar>
          </w:tcPr>
          <w:p>
            <w:pPr>
              <w:spacing w:after="30"/>
            </w:pPr>
            <w:r>
              <w:rPr>
                <w:rFonts w:ascii="Arial" w:hAnsi="Arial"/>
                <w:sz w:val="17"/>
              </w:rPr>
              <w:t>-36.000,00 EUR</w:t>
            </w:r>
          </w:p>
        </w:tc>
      </w:tr>
    </w:tbl>
    <w:p>
      <w:pPr>
        <w:pStyle w:val="Heading2"/>
        <w:widowControl/>
      </w:pPr>
      <w:r>
        <w:rPr>
          <w:rFonts w:ascii="Arial" w:hAnsi="Arial" w:eastAsia="Arial"/>
        </w:rPr>
        <w:t>Testament</w:t>
      </w:r>
    </w:p>
    <w:p>
      <w:pPr>
        <w:widowControl/>
        <w:jc w:val="left"/>
      </w:pPr>
      <w:r>
        <w:rPr>
          <w:rFonts w:ascii="Arial" w:hAnsi="Arial" w:eastAsia="Arial"/>
        </w:rPr>
        <w:t>Clemens setzte Fiona 2018 zur Alleinerbin ein. Das Testament ist formal unauffällig. Clemens hatte keine weiteren Kinder. Seine Ehe mit Dana war seit 2001 geschieden. Eine neue Ehe ging er nicht ein.</w:t>
      </w:r>
    </w:p>
    <w:p>
      <w:pPr>
        <w:pStyle w:val="Heading2"/>
        <w:widowControl/>
      </w:pPr>
      <w:r>
        <w:rPr>
          <w:rFonts w:ascii="Arial" w:hAnsi="Arial" w:eastAsia="Arial"/>
        </w:rPr>
        <w:t>Besonderheit nach Armins Tod</w:t>
      </w:r>
    </w:p>
    <w:p>
      <w:pPr>
        <w:widowControl/>
        <w:jc w:val="left"/>
      </w:pPr>
      <w:r>
        <w:rPr>
          <w:rFonts w:ascii="Arial" w:hAnsi="Arial" w:eastAsia="Arial"/>
        </w:rPr>
        <w:t>Fiona ist beim Tod von Clemens bereits Witwe von Armin. Sie könnte aus Armins Nachlass Vermögen erhalten haben. Das ändert ihre Stellung als Tochter von Clemens nicht, kann aber Pflichtteils- und Steuerfragen beeinflussen. Dana bittet um schriftliche Einordnung ihrer Stellung als Mutter Fionas und geschiedene Ehefrau Clemens'. Ihre eigenen Erklärungen, mögliche vertragliche Ansprüche und die Erbfolge werden getrennt erhoben; das Dokument legt kein Ergebnis fest.</w:t>
      </w:r>
    </w:p>
    <w:p>
      <w:pPr>
        <w:pStyle w:val="Heading2"/>
        <w:widowControl/>
      </w:pPr>
      <w:r>
        <w:rPr>
          <w:rFonts w:ascii="Arial" w:hAnsi="Arial" w:eastAsia="Arial"/>
        </w:rPr>
        <w:t>Konflikt</w:t>
      </w:r>
    </w:p>
    <w:p>
      <w:pPr>
        <w:widowControl/>
        <w:jc w:val="left"/>
      </w:pPr>
      <w:r>
        <w:rPr>
          <w:rFonts w:ascii="Arial" w:hAnsi="Arial" w:eastAsia="Arial"/>
        </w:rPr>
        <w:t>Beate versucht, Fionas Glaubwürdigkeit anzugreifen, weil Fiona "erst den Stiefvater geheiratet und dann den Vater beerbt" habe. Für die erbrechtliche Prüfung ist diese Wertung gefährlich: Moralische Irritation ersetzt keine Verwandtschafts- oder Testamentsprüfung.</w:t>
      </w:r>
    </w:p>
    <w:p>
      <w:pPr>
        <w:pStyle w:val="Heading1"/>
        <w:widowControl/>
      </w:pPr>
      <w:r>
        <w:rPr>
          <w:rFonts w:ascii="Arial" w:hAnsi="Arial" w:eastAsia="Arial"/>
        </w:rPr>
        <w:t>4. Abwicklung des Architekturbüros</w:t>
      </w:r>
    </w:p>
    <w:p>
      <w:pPr>
        <w:keepLines w:val="0"/>
        <w:widowControl/>
      </w:pPr>
      <w:r>
        <w:rPr>
          <w:rFonts w:ascii="Arial" w:hAnsi="Arial" w:eastAsia="Arial"/>
        </w:rPr>
        <w:t>Clemens hielt 40 Prozent an der Partnerschaft Radtke &amp; Renz Architekten. Der Partner Moritz Renz meldete am 09.06.2026 sieben laufende Projekte und drei offene Honorarrechnungen. Die im Nachlass genannte Position von 480000,00 EUR ist eine vorläufige Abfindungsspanne, keine ausgezahlte Forderung.</w:t>
      </w:r>
    </w:p>
    <w:p>
      <w:pPr>
        <w:keepLines w:val="0"/>
        <w:widowControl/>
      </w:pPr>
      <w:r>
        <w:rPr>
          <w:rFonts w:ascii="Arial" w:hAnsi="Arial" w:eastAsia="Arial"/>
        </w:rPr>
        <w:t>Im Haus Pfinztalstraße wurden ein verschlossener Planschrank und ein Bankschließfachschlüssel gefunden. Fiona und der Partner des Büros vereinbarten, Mandantenakten nur gemeinsam zu inventarisieren. Dana besitzt noch einen alten Hausschlüssel, hat ihn am 04.06.2026 aber gegen Quittung bei Fiona abgegeben.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Vorgang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Betrag oder Umfang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Quelle</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Offene Frage</w:t>
            </w:r>
          </w:p>
        </w:tc>
      </w:tr>
      <w:tr>
        <w:tc>
          <w:tcPr>
            <w:tcW w:type="dxa" w:w="2353"/>
            <w:vAlign w:val="center"/>
            <w:tcMar>
              <w:top w:w="90" w:type="dxa"/>
              <w:start w:w="100" w:type="dxa"/>
              <w:bottom w:w="90" w:type="dxa"/>
              <w:end w:w="100" w:type="dxa"/>
            </w:tcMar>
          </w:tcPr>
          <w:p>
            <w:pPr>
              <w:spacing w:after="30"/>
            </w:pPr>
            <w:r>
              <w:rPr>
                <w:rFonts w:ascii="Arial" w:hAnsi="Arial"/>
                <w:sz w:val="17"/>
              </w:rPr>
              <w:t>Partneranteil</w:t>
            </w:r>
          </w:p>
        </w:tc>
        <w:tc>
          <w:tcPr>
            <w:tcW w:type="dxa" w:w="2353"/>
            <w:vAlign w:val="center"/>
            <w:tcMar>
              <w:top w:w="90" w:type="dxa"/>
              <w:start w:w="100" w:type="dxa"/>
              <w:bottom w:w="90" w:type="dxa"/>
              <w:end w:w="100" w:type="dxa"/>
            </w:tcMar>
          </w:tcPr>
          <w:p>
            <w:pPr>
              <w:spacing w:after="30"/>
            </w:pPr>
            <w:r>
              <w:rPr>
                <w:rFonts w:ascii="Arial" w:hAnsi="Arial"/>
                <w:sz w:val="17"/>
              </w:rPr>
              <w:t>480000,00 EUR</w:t>
            </w:r>
          </w:p>
        </w:tc>
        <w:tc>
          <w:tcPr>
            <w:tcW w:type="dxa" w:w="2353"/>
            <w:vAlign w:val="center"/>
            <w:tcMar>
              <w:top w:w="90" w:type="dxa"/>
              <w:start w:w="100" w:type="dxa"/>
              <w:bottom w:w="90" w:type="dxa"/>
              <w:end w:w="100" w:type="dxa"/>
            </w:tcMar>
          </w:tcPr>
          <w:p>
            <w:pPr>
              <w:spacing w:after="30"/>
            </w:pPr>
            <w:r>
              <w:rPr>
                <w:rFonts w:ascii="Arial" w:hAnsi="Arial"/>
                <w:sz w:val="17"/>
              </w:rPr>
              <w:t>Partnerschaftsvertrag und Kurzrechnung</w:t>
            </w:r>
          </w:p>
        </w:tc>
        <w:tc>
          <w:tcPr>
            <w:tcW w:type="dxa" w:w="2353"/>
            <w:vAlign w:val="center"/>
            <w:tcMar>
              <w:top w:w="90" w:type="dxa"/>
              <w:start w:w="100" w:type="dxa"/>
              <w:bottom w:w="90" w:type="dxa"/>
              <w:end w:w="100" w:type="dxa"/>
            </w:tcMar>
          </w:tcPr>
          <w:p>
            <w:pPr>
              <w:spacing w:after="30"/>
            </w:pPr>
            <w:r>
              <w:rPr>
                <w:rFonts w:ascii="Arial" w:hAnsi="Arial"/>
                <w:sz w:val="17"/>
              </w:rPr>
              <w:t>Abfindungsmechanismus</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Offene Honorare</w:t>
            </w:r>
          </w:p>
        </w:tc>
        <w:tc>
          <w:tcPr>
            <w:tcW w:type="dxa" w:w="2353"/>
            <w:vAlign w:val="center"/>
            <w:tcMar>
              <w:top w:w="90" w:type="dxa"/>
              <w:start w:w="100" w:type="dxa"/>
              <w:bottom w:w="90" w:type="dxa"/>
              <w:end w:w="100" w:type="dxa"/>
            </w:tcMar>
            <w:shd w:fill="F2F4F5"/>
          </w:tcPr>
          <w:p>
            <w:pPr>
              <w:spacing w:after="30"/>
            </w:pPr>
            <w:r>
              <w:rPr>
                <w:rFonts w:ascii="Arial" w:hAnsi="Arial"/>
                <w:sz w:val="17"/>
              </w:rPr>
              <w:t>138400,00 EUR brutto</w:t>
            </w:r>
          </w:p>
        </w:tc>
        <w:tc>
          <w:tcPr>
            <w:tcW w:type="dxa" w:w="2353"/>
            <w:vAlign w:val="center"/>
            <w:tcMar>
              <w:top w:w="90" w:type="dxa"/>
              <w:start w:w="100" w:type="dxa"/>
              <w:bottom w:w="90" w:type="dxa"/>
              <w:end w:w="100" w:type="dxa"/>
            </w:tcMar>
            <w:shd w:fill="F2F4F5"/>
          </w:tcPr>
          <w:p>
            <w:pPr>
              <w:spacing w:after="30"/>
            </w:pPr>
            <w:r>
              <w:rPr>
                <w:rFonts w:ascii="Arial" w:hAnsi="Arial"/>
                <w:sz w:val="17"/>
              </w:rPr>
              <w:t>OP-Liste 02.06.2026</w:t>
            </w:r>
          </w:p>
        </w:tc>
        <w:tc>
          <w:tcPr>
            <w:tcW w:type="dxa" w:w="2353"/>
            <w:vAlign w:val="center"/>
            <w:tcMar>
              <w:top w:w="90" w:type="dxa"/>
              <w:start w:w="100" w:type="dxa"/>
              <w:bottom w:w="90" w:type="dxa"/>
              <w:end w:w="100" w:type="dxa"/>
            </w:tcMar>
            <w:shd w:fill="F2F4F5"/>
          </w:tcPr>
          <w:p>
            <w:pPr>
              <w:spacing w:after="30"/>
            </w:pPr>
            <w:r>
              <w:rPr>
                <w:rFonts w:ascii="Arial" w:hAnsi="Arial"/>
                <w:sz w:val="17"/>
              </w:rPr>
              <w:t>Leistungsstand und Kosten</w:t>
            </w:r>
          </w:p>
        </w:tc>
      </w:tr>
      <w:tr>
        <w:tc>
          <w:tcPr>
            <w:tcW w:type="dxa" w:w="2353"/>
            <w:vAlign w:val="center"/>
            <w:tcMar>
              <w:top w:w="90" w:type="dxa"/>
              <w:start w:w="100" w:type="dxa"/>
              <w:bottom w:w="90" w:type="dxa"/>
              <w:end w:w="100" w:type="dxa"/>
            </w:tcMar>
          </w:tcPr>
          <w:p>
            <w:pPr>
              <w:spacing w:after="30"/>
            </w:pPr>
            <w:r>
              <w:rPr>
                <w:rFonts w:ascii="Arial" w:hAnsi="Arial"/>
                <w:sz w:val="17"/>
              </w:rPr>
              <w:t>Haus Durlach</w:t>
            </w:r>
          </w:p>
        </w:tc>
        <w:tc>
          <w:tcPr>
            <w:tcW w:type="dxa" w:w="2353"/>
            <w:vAlign w:val="center"/>
            <w:tcMar>
              <w:top w:w="90" w:type="dxa"/>
              <w:start w:w="100" w:type="dxa"/>
              <w:bottom w:w="90" w:type="dxa"/>
              <w:end w:w="100" w:type="dxa"/>
            </w:tcMar>
          </w:tcPr>
          <w:p>
            <w:pPr>
              <w:spacing w:after="30"/>
            </w:pPr>
            <w:r>
              <w:rPr>
                <w:rFonts w:ascii="Arial" w:hAnsi="Arial"/>
                <w:sz w:val="17"/>
              </w:rPr>
              <w:t>870000,00 EUR</w:t>
            </w:r>
          </w:p>
        </w:tc>
        <w:tc>
          <w:tcPr>
            <w:tcW w:type="dxa" w:w="2353"/>
            <w:vAlign w:val="center"/>
            <w:tcMar>
              <w:top w:w="90" w:type="dxa"/>
              <w:start w:w="100" w:type="dxa"/>
              <w:bottom w:w="90" w:type="dxa"/>
              <w:end w:w="100" w:type="dxa"/>
            </w:tcMar>
          </w:tcPr>
          <w:p>
            <w:pPr>
              <w:spacing w:after="30"/>
            </w:pPr>
            <w:r>
              <w:rPr>
                <w:rFonts w:ascii="Arial" w:hAnsi="Arial"/>
                <w:sz w:val="17"/>
              </w:rPr>
              <w:t>Maklerbrief</w:t>
            </w:r>
          </w:p>
        </w:tc>
        <w:tc>
          <w:tcPr>
            <w:tcW w:type="dxa" w:w="2353"/>
            <w:vAlign w:val="center"/>
            <w:tcMar>
              <w:top w:w="90" w:type="dxa"/>
              <w:start w:w="100" w:type="dxa"/>
              <w:bottom w:w="90" w:type="dxa"/>
              <w:end w:w="100" w:type="dxa"/>
            </w:tcMar>
          </w:tcPr>
          <w:p>
            <w:pPr>
              <w:spacing w:after="30"/>
            </w:pPr>
            <w:r>
              <w:rPr>
                <w:rFonts w:ascii="Arial" w:hAnsi="Arial"/>
                <w:sz w:val="17"/>
              </w:rPr>
              <w:t>Belastungen und Nießbrauch</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Kunstsammlung</w:t>
            </w:r>
          </w:p>
        </w:tc>
        <w:tc>
          <w:tcPr>
            <w:tcW w:type="dxa" w:w="2353"/>
            <w:vAlign w:val="center"/>
            <w:tcMar>
              <w:top w:w="90" w:type="dxa"/>
              <w:start w:w="100" w:type="dxa"/>
              <w:bottom w:w="90" w:type="dxa"/>
              <w:end w:w="100" w:type="dxa"/>
            </w:tcMar>
            <w:shd w:fill="F2F4F5"/>
          </w:tcPr>
          <w:p>
            <w:pPr>
              <w:spacing w:after="30"/>
            </w:pPr>
            <w:r>
              <w:rPr>
                <w:rFonts w:ascii="Arial" w:hAnsi="Arial"/>
                <w:sz w:val="17"/>
              </w:rPr>
              <w:t>160000,00 EUR</w:t>
            </w:r>
          </w:p>
        </w:tc>
        <w:tc>
          <w:tcPr>
            <w:tcW w:type="dxa" w:w="2353"/>
            <w:vAlign w:val="center"/>
            <w:tcMar>
              <w:top w:w="90" w:type="dxa"/>
              <w:start w:w="100" w:type="dxa"/>
              <w:bottom w:w="90" w:type="dxa"/>
              <w:end w:w="100" w:type="dxa"/>
            </w:tcMar>
            <w:shd w:fill="F2F4F5"/>
          </w:tcPr>
          <w:p>
            <w:pPr>
              <w:spacing w:after="30"/>
            </w:pPr>
            <w:r>
              <w:rPr>
                <w:rFonts w:ascii="Arial" w:hAnsi="Arial"/>
                <w:sz w:val="17"/>
              </w:rPr>
              <w:t>Versicherungsliste</w:t>
            </w:r>
          </w:p>
        </w:tc>
        <w:tc>
          <w:tcPr>
            <w:tcW w:type="dxa" w:w="2353"/>
            <w:vAlign w:val="center"/>
            <w:tcMar>
              <w:top w:w="90" w:type="dxa"/>
              <w:start w:w="100" w:type="dxa"/>
              <w:bottom w:w="90" w:type="dxa"/>
              <w:end w:w="100" w:type="dxa"/>
            </w:tcMar>
            <w:shd w:fill="F2F4F5"/>
          </w:tcPr>
          <w:p>
            <w:pPr>
              <w:spacing w:after="30"/>
            </w:pPr>
            <w:r>
              <w:rPr>
                <w:rFonts w:ascii="Arial" w:hAnsi="Arial"/>
                <w:sz w:val="17"/>
              </w:rPr>
              <w:t>Eigentum einzelner Blätter</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