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Erbscheinantrag Fiona</w:t>
      </w:r>
    </w:p>
    <w:p>
      <w:pPr>
        <w:pStyle w:val="Heading2"/>
        <w:widowControl/>
      </w:pPr>
      <w:r>
        <w:rPr>
          <w:rFonts w:ascii="Arial" w:hAnsi="Arial" w:eastAsia="Arial"/>
        </w:rPr>
        <w:t>Antrag Armin Vogel</w:t>
      </w:r>
    </w:p>
    <w:p>
      <w:pPr>
        <w:widowControl/>
        <w:jc w:val="left"/>
      </w:pPr>
      <w:r>
        <w:rPr>
          <w:rFonts w:ascii="Arial" w:hAnsi="Arial" w:eastAsia="Arial"/>
        </w:rPr>
        <w:t>Fiona Radtke-Vogel beantragt beim Nachlassgericht Karlsruhe einen Erbschein, der sie als Alleinerbin nach Armin Vogel ausweist. Hilfsweise beantragt sie einen Erbschein nach gesetzlicher Erbfolge mit ihr als Ehefrau und den weiteren gesetzlichen Erben, sofern das Gericht das Testament 2014 nicht als Alleinerbeneinsetzung auslegt.</w:t>
      </w:r>
    </w:p>
    <w:p>
      <w:pPr>
        <w:pStyle w:val="Heading2"/>
        <w:widowControl/>
      </w:pPr>
      <w:r>
        <w:rPr>
          <w:rFonts w:ascii="Arial" w:hAnsi="Arial" w:eastAsia="Arial"/>
        </w:rPr>
        <w:t>Begründung</w:t>
      </w:r>
    </w:p>
    <w:p>
      <w:pPr>
        <w:widowControl/>
        <w:jc w:val="left"/>
      </w:pPr>
      <w:r>
        <w:rPr>
          <w:rFonts w:ascii="Arial" w:hAnsi="Arial" w:eastAsia="Arial"/>
        </w:rPr>
        <w:t>Fiona beruft sich auf das Testament vom 10.10.2014 und auf die spätere Ehe mit Armin. Sie meint, der Ausdruck "wie eine Tochter" sei nur emotional gemeint und stehe einer Erbenstellung nicht entgegen. Dana sei zwar im Testament erwähnt, habe aber nach der Scheidung und nach späterer Entfremdung keinen Anspruch auf die Hälfte. Beate sei seit 1998 geschiedene Ehefrau; das gemeinschaftliche Testament 1994 sei jedenfalls nicht mehr tragfähig.</w:t>
      </w:r>
    </w:p>
    <w:p>
      <w:pPr>
        <w:pStyle w:val="Heading2"/>
        <w:widowControl/>
      </w:pPr>
      <w:r>
        <w:rPr>
          <w:rFonts w:ascii="Arial" w:hAnsi="Arial" w:eastAsia="Arial"/>
        </w:rPr>
        <w:t>Gegenargumente</w:t>
      </w:r>
    </w:p>
    <w:p>
      <w:pPr>
        <w:widowControl/>
        <w:jc w:val="left"/>
      </w:pPr>
      <w:r>
        <w:rPr>
          <w:rFonts w:ascii="Arial" w:hAnsi="Arial" w:eastAsia="Arial"/>
        </w:rPr>
        <w:t>Beate: Testament 1994 sei nie widerrufen worden und habe Bindungswirkung.</w:t>
      </w:r>
    </w:p>
    <w:p>
      <w:pPr>
        <w:widowControl/>
        <w:jc w:val="left"/>
      </w:pPr>
      <w:r>
        <w:rPr>
          <w:rFonts w:ascii="Arial" w:hAnsi="Arial" w:eastAsia="Arial"/>
        </w:rPr>
        <w:t>Dana: Testament 2014 begünstige sie gerade nach der Scheidung, also bewusst.</w:t>
      </w:r>
    </w:p>
    <w:p>
      <w:pPr>
        <w:widowControl/>
        <w:jc w:val="left"/>
      </w:pPr>
      <w:r>
        <w:rPr>
          <w:rFonts w:ascii="Arial" w:hAnsi="Arial" w:eastAsia="Arial"/>
        </w:rPr>
        <w:t>Nachlassgericht: verlangt eine eindeutige Antragsfassung, die vollständigen Originale und eine getrennte Darstellung jedes Berufungsgrunds; eine Quote wurde nicht vorgegeben.</w:t>
      </w:r>
    </w:p>
    <w:p>
      <w:pPr>
        <w:pStyle w:val="Heading2"/>
        <w:widowControl/>
      </w:pPr>
      <w:r>
        <w:rPr>
          <w:rFonts w:ascii="Arial" w:hAnsi="Arial" w:eastAsia="Arial"/>
        </w:rPr>
        <w:t>Noch einzureichende Unterlagen</w:t>
      </w:r>
    </w:p>
    <w:p>
      <w:pPr>
        <w:pStyle w:val="ListNumber"/>
        <w:widowControl/>
      </w:pPr>
      <w:r>
        <w:rPr>
          <w:rFonts w:ascii="Arial" w:hAnsi="Arial" w:eastAsia="Arial"/>
        </w:rPr>
        <w:t>Beglaubigte Eheurkunde Armin und Fiona.</w:t>
      </w:r>
    </w:p>
    <w:p>
      <w:pPr>
        <w:pStyle w:val="ListNumber"/>
        <w:widowControl/>
      </w:pPr>
      <w:r>
        <w:rPr>
          <w:rFonts w:ascii="Arial" w:hAnsi="Arial" w:eastAsia="Arial"/>
        </w:rPr>
        <w:t>Vollständiger Scheidungsbeschluss Armin und Dana.</w:t>
      </w:r>
    </w:p>
    <w:p>
      <w:pPr>
        <w:pStyle w:val="ListNumber"/>
        <w:widowControl/>
      </w:pPr>
      <w:r>
        <w:rPr>
          <w:rFonts w:ascii="Arial" w:hAnsi="Arial" w:eastAsia="Arial"/>
        </w:rPr>
        <w:t>Erklärung zum Berufungsgrund in der beantragten Fassung.</w:t>
      </w:r>
    </w:p>
    <w:p>
      <w:pPr>
        <w:pStyle w:val="ListNumber"/>
        <w:widowControl/>
      </w:pPr>
      <w:r>
        <w:rPr>
          <w:rFonts w:ascii="Arial" w:hAnsi="Arial" w:eastAsia="Arial"/>
        </w:rPr>
        <w:t>Original oder Verwahrangabe zum handschriftlichen Zettel aus 2018.</w:t>
      </w:r>
    </w:p>
    <w:p>
      <w:pPr>
        <w:pStyle w:val="Heading1"/>
        <w:widowControl/>
      </w:pPr>
      <w:r>
        <w:rPr>
          <w:rFonts w:ascii="Arial" w:hAnsi="Arial" w:eastAsia="Arial"/>
        </w:rPr>
        <w:t>5. Formale Einreichungspunkte</w:t>
      </w:r>
    </w:p>
    <w:p>
      <w:pPr>
        <w:keepLines w:val="0"/>
        <w:widowControl/>
      </w:pPr>
      <w:r>
        <w:rPr>
          <w:rFonts w:ascii="Arial" w:hAnsi="Arial" w:eastAsia="Arial"/>
        </w:rPr>
        <w:t>Der Antrag ist noch nicht endgültig gefasst. Vor der eidesstattlichen Versicherung sind Antragshaupt- und Hilfsfassung, die Erfassung weiterer gesetzlicher Erben und die Reichweite der Testamente gesondert abzustimmen. Die Kanzlei nimmt keine Erbquote in den Antrag auf, die nicht aus dem konkreten Berufungsgrund hergeleitet und begründet wird.</w:t>
      </w:r>
    </w:p>
    <w:p>
      <w:pPr>
        <w:keepLines w:val="0"/>
        <w:widowControl/>
      </w:pPr>
      <w:r>
        <w:rPr>
          <w:rFonts w:ascii="Arial" w:hAnsi="Arial" w:eastAsia="Arial"/>
        </w:rPr>
        <w:t>Fiona soll beim Termin nur eigene Wahrnehmungen versichern. Aussagen zu Dianas oder Beates Motiven, zum Inhalt fehlender Urkunden oder zum Wert des Nachlasses werden als Fremdangabe gekennzeichnet.</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blHeader w:val="true"/>
          <w:tblHeader w:val="true"/>
        </w:trPr>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Unterlage</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Status</w:t>
            </w:r>
          </w:p>
        </w:tc>
        <w:tc>
          <w:tcPr>
            <w:tcW w:type="dxa" w:w="3137"/>
            <w:vAlign w:val="center"/>
            <w:tcMar>
              <w:top w:w="90" w:type="dxa"/>
              <w:start w:w="100" w:type="dxa"/>
              <w:bottom w:w="90" w:type="dxa"/>
              <w:end w:w="100" w:type="dxa"/>
            </w:tcMar>
            <w:shd w:fill="17324D"/>
          </w:tcPr>
          <w:p>
            <w:pPr>
              <w:spacing w:after="30"/>
            </w:pPr>
            <w:r>
              <w:rPr>
                <w:rFonts w:ascii="Arial" w:hAnsi="Arial"/>
                <w:b/>
                <w:color w:val="FFFFFF"/>
                <w:sz w:val="17"/>
              </w:rPr>
              <w:t>Fundstelle</w:t>
            </w:r>
          </w:p>
        </w:tc>
      </w:tr>
      <w:tr>
        <w:tc>
          <w:tcPr>
            <w:tcW w:type="dxa" w:w="3137"/>
            <w:vAlign w:val="center"/>
            <w:tcMar>
              <w:top w:w="90" w:type="dxa"/>
              <w:start w:w="100" w:type="dxa"/>
              <w:bottom w:w="90" w:type="dxa"/>
              <w:end w:w="100" w:type="dxa"/>
            </w:tcMar>
          </w:tcPr>
          <w:p>
            <w:pPr>
              <w:spacing w:after="30"/>
            </w:pPr>
            <w:r>
              <w:rPr>
                <w:rFonts w:ascii="Arial" w:hAnsi="Arial"/>
                <w:sz w:val="17"/>
              </w:rPr>
              <w:t>Eheurkunde Armin/Fiona</w:t>
            </w:r>
          </w:p>
        </w:tc>
        <w:tc>
          <w:tcPr>
            <w:tcW w:type="dxa" w:w="3137"/>
            <w:vAlign w:val="center"/>
            <w:tcMar>
              <w:top w:w="90" w:type="dxa"/>
              <w:start w:w="100" w:type="dxa"/>
              <w:bottom w:w="90" w:type="dxa"/>
              <w:end w:w="100" w:type="dxa"/>
            </w:tcMar>
          </w:tcPr>
          <w:p>
            <w:pPr>
              <w:spacing w:after="30"/>
            </w:pPr>
            <w:r>
              <w:rPr>
                <w:rFonts w:ascii="Arial" w:hAnsi="Arial"/>
                <w:sz w:val="17"/>
              </w:rPr>
              <w:t>beglaubigt</w:t>
            </w:r>
          </w:p>
        </w:tc>
        <w:tc>
          <w:tcPr>
            <w:tcW w:type="dxa" w:w="3137"/>
            <w:vAlign w:val="center"/>
            <w:tcMar>
              <w:top w:w="90" w:type="dxa"/>
              <w:start w:w="100" w:type="dxa"/>
              <w:bottom w:w="90" w:type="dxa"/>
              <w:end w:w="100" w:type="dxa"/>
            </w:tcMar>
          </w:tcPr>
          <w:p>
            <w:pPr>
              <w:spacing w:after="30"/>
            </w:pPr>
            <w:r>
              <w:rPr>
                <w:rFonts w:ascii="Arial" w:hAnsi="Arial"/>
                <w:sz w:val="17"/>
              </w:rPr>
              <w:t>Stück 08</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Scheidungsbeschluss Armin/Dana</w:t>
            </w:r>
          </w:p>
        </w:tc>
        <w:tc>
          <w:tcPr>
            <w:tcW w:type="dxa" w:w="3137"/>
            <w:vAlign w:val="center"/>
            <w:tcMar>
              <w:top w:w="90" w:type="dxa"/>
              <w:start w:w="100" w:type="dxa"/>
              <w:bottom w:w="90" w:type="dxa"/>
              <w:end w:w="100" w:type="dxa"/>
            </w:tcMar>
            <w:shd w:fill="F2F4F5"/>
          </w:tcPr>
          <w:p>
            <w:pPr>
              <w:spacing w:after="30"/>
            </w:pPr>
            <w:r>
              <w:rPr>
                <w:rFonts w:ascii="Arial" w:hAnsi="Arial"/>
                <w:sz w:val="17"/>
              </w:rPr>
              <w:t>beglaubigt</w:t>
            </w:r>
          </w:p>
        </w:tc>
        <w:tc>
          <w:tcPr>
            <w:tcW w:type="dxa" w:w="3137"/>
            <w:vAlign w:val="center"/>
            <w:tcMar>
              <w:top w:w="90" w:type="dxa"/>
              <w:start w:w="100" w:type="dxa"/>
              <w:bottom w:w="90" w:type="dxa"/>
              <w:end w:w="100" w:type="dxa"/>
            </w:tcMar>
            <w:shd w:fill="F2F4F5"/>
          </w:tcPr>
          <w:p>
            <w:pPr>
              <w:spacing w:after="30"/>
            </w:pPr>
            <w:r>
              <w:rPr>
                <w:rFonts w:ascii="Arial" w:hAnsi="Arial"/>
                <w:sz w:val="17"/>
              </w:rPr>
              <w:t>Anlage P-6</w:t>
            </w:r>
          </w:p>
        </w:tc>
      </w:tr>
      <w:tr>
        <w:tc>
          <w:tcPr>
            <w:tcW w:type="dxa" w:w="3137"/>
            <w:vAlign w:val="center"/>
            <w:tcMar>
              <w:top w:w="90" w:type="dxa"/>
              <w:start w:w="100" w:type="dxa"/>
              <w:bottom w:w="90" w:type="dxa"/>
              <w:end w:w="100" w:type="dxa"/>
            </w:tcMar>
          </w:tcPr>
          <w:p>
            <w:pPr>
              <w:spacing w:after="30"/>
            </w:pPr>
            <w:r>
              <w:rPr>
                <w:rFonts w:ascii="Arial" w:hAnsi="Arial"/>
                <w:sz w:val="17"/>
              </w:rPr>
              <w:t>Testament 2014</w:t>
            </w:r>
          </w:p>
        </w:tc>
        <w:tc>
          <w:tcPr>
            <w:tcW w:type="dxa" w:w="3137"/>
            <w:vAlign w:val="center"/>
            <w:tcMar>
              <w:top w:w="90" w:type="dxa"/>
              <w:start w:w="100" w:type="dxa"/>
              <w:bottom w:w="90" w:type="dxa"/>
              <w:end w:w="100" w:type="dxa"/>
            </w:tcMar>
          </w:tcPr>
          <w:p>
            <w:pPr>
              <w:spacing w:after="30"/>
            </w:pPr>
            <w:r>
              <w:rPr>
                <w:rFonts w:ascii="Arial" w:hAnsi="Arial"/>
                <w:sz w:val="17"/>
              </w:rPr>
              <w:t>Original beim Gericht</w:t>
            </w:r>
          </w:p>
        </w:tc>
        <w:tc>
          <w:tcPr>
            <w:tcW w:type="dxa" w:w="3137"/>
            <w:vAlign w:val="center"/>
            <w:tcMar>
              <w:top w:w="90" w:type="dxa"/>
              <w:start w:w="100" w:type="dxa"/>
              <w:bottom w:w="90" w:type="dxa"/>
              <w:end w:w="100" w:type="dxa"/>
            </w:tcMar>
          </w:tcPr>
          <w:p>
            <w:pPr>
              <w:spacing w:after="30"/>
            </w:pPr>
            <w:r>
              <w:rPr>
                <w:rFonts w:ascii="Arial" w:hAnsi="Arial"/>
                <w:sz w:val="17"/>
              </w:rPr>
              <w:t>Stück 12</w:t>
            </w:r>
          </w:p>
        </w:tc>
      </w:tr>
      <w:tr>
        <w:tc>
          <w:tcPr>
            <w:tcW w:type="dxa" w:w="3137"/>
            <w:vAlign w:val="center"/>
            <w:tcMar>
              <w:top w:w="90" w:type="dxa"/>
              <w:start w:w="100" w:type="dxa"/>
              <w:bottom w:w="90" w:type="dxa"/>
              <w:end w:w="100" w:type="dxa"/>
            </w:tcMar>
            <w:shd w:fill="F2F4F5"/>
          </w:tcPr>
          <w:p>
            <w:pPr>
              <w:spacing w:after="30"/>
            </w:pPr>
            <w:r>
              <w:rPr>
                <w:rFonts w:ascii="Arial" w:hAnsi="Arial"/>
                <w:sz w:val="17"/>
              </w:rPr>
              <w:t>Testament 1994</w:t>
            </w:r>
          </w:p>
        </w:tc>
        <w:tc>
          <w:tcPr>
            <w:tcW w:type="dxa" w:w="3137"/>
            <w:vAlign w:val="center"/>
            <w:tcMar>
              <w:top w:w="90" w:type="dxa"/>
              <w:start w:w="100" w:type="dxa"/>
              <w:bottom w:w="90" w:type="dxa"/>
              <w:end w:w="100" w:type="dxa"/>
            </w:tcMar>
            <w:shd w:fill="F2F4F5"/>
          </w:tcPr>
          <w:p>
            <w:pPr>
              <w:spacing w:after="30"/>
            </w:pPr>
            <w:r>
              <w:rPr>
                <w:rFonts w:ascii="Arial" w:hAnsi="Arial"/>
                <w:sz w:val="17"/>
              </w:rPr>
              <w:t>Original beim Gericht</w:t>
            </w:r>
          </w:p>
        </w:tc>
        <w:tc>
          <w:tcPr>
            <w:tcW w:type="dxa" w:w="3137"/>
            <w:vAlign w:val="center"/>
            <w:tcMar>
              <w:top w:w="90" w:type="dxa"/>
              <w:start w:w="100" w:type="dxa"/>
              <w:bottom w:w="90" w:type="dxa"/>
              <w:end w:w="100" w:type="dxa"/>
            </w:tcMar>
            <w:shd w:fill="F2F4F5"/>
          </w:tcPr>
          <w:p>
            <w:pPr>
              <w:spacing w:after="30"/>
            </w:pPr>
            <w:r>
              <w:rPr>
                <w:rFonts w:ascii="Arial" w:hAnsi="Arial"/>
                <w:sz w:val="17"/>
              </w:rPr>
              <w:t>Stück 11</w:t>
            </w:r>
          </w:p>
        </w:tc>
      </w:tr>
      <w:tr>
        <w:tc>
          <w:tcPr>
            <w:tcW w:type="dxa" w:w="3137"/>
            <w:vAlign w:val="center"/>
            <w:tcMar>
              <w:top w:w="90" w:type="dxa"/>
              <w:start w:w="100" w:type="dxa"/>
              <w:bottom w:w="90" w:type="dxa"/>
              <w:end w:w="100" w:type="dxa"/>
            </w:tcMar>
          </w:tcPr>
          <w:p>
            <w:pPr>
              <w:spacing w:after="30"/>
            </w:pPr>
            <w:r>
              <w:rPr>
                <w:rFonts w:ascii="Arial" w:hAnsi="Arial"/>
                <w:sz w:val="17"/>
              </w:rPr>
              <w:t>Geburtsurkunde Fiona</w:t>
            </w:r>
          </w:p>
        </w:tc>
        <w:tc>
          <w:tcPr>
            <w:tcW w:type="dxa" w:w="3137"/>
            <w:vAlign w:val="center"/>
            <w:tcMar>
              <w:top w:w="90" w:type="dxa"/>
              <w:start w:w="100" w:type="dxa"/>
              <w:bottom w:w="90" w:type="dxa"/>
              <w:end w:w="100" w:type="dxa"/>
            </w:tcMar>
          </w:tcPr>
          <w:p>
            <w:pPr>
              <w:spacing w:after="30"/>
            </w:pPr>
            <w:r>
              <w:rPr>
                <w:rFonts w:ascii="Arial" w:hAnsi="Arial"/>
                <w:sz w:val="17"/>
              </w:rPr>
              <w:t>beglaubigt</w:t>
            </w:r>
          </w:p>
        </w:tc>
        <w:tc>
          <w:tcPr>
            <w:tcW w:type="dxa" w:w="3137"/>
            <w:vAlign w:val="center"/>
            <w:tcMar>
              <w:top w:w="90" w:type="dxa"/>
              <w:start w:w="100" w:type="dxa"/>
              <w:bottom w:w="90" w:type="dxa"/>
              <w:end w:w="100" w:type="dxa"/>
            </w:tcMar>
          </w:tcPr>
          <w:p>
            <w:pPr>
              <w:spacing w:after="30"/>
            </w:pPr>
            <w:r>
              <w:rPr>
                <w:rFonts w:ascii="Arial" w:hAnsi="Arial"/>
                <w:sz w:val="17"/>
              </w:rPr>
              <w:t>Stück 17</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Maren Heller, Rechtsanwältin und Fachanwältin für Erbrecht | Anderkonto DE68 6602 0500 0047 8200 31 | BIC BFSWDE33KRL | St.-Nr. 35/127/08421 | Berufshaftpflicht: JurAssekuranz AG,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