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Vermögens- und Verfügungsübersicht zum Todestag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Institut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Badische Nachlassbank eG, Nachlassservice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Kunde</w:t>
            </w:r>
          </w:p>
        </w:tc>
        <w:tc>
          <w:tcPr>
            <w:tcW w:type="dxa" w:w="4872"/>
            <w:vAlign w:val="center"/>
            <w:tcMar>
              <w:top w:w="90" w:type="dxa"/>
              <w:start w:w="100" w:type="dxa"/>
              <w:bottom w:w="90" w:type="dxa"/>
              <w:end w:w="100" w:type="dxa"/>
            </w:tcMar>
          </w:tcPr>
          <w:p>
            <w:pPr>
              <w:spacing w:after="30"/>
            </w:pPr>
            <w:r>
              <w:rPr>
                <w:rFonts w:ascii="Arial" w:hAnsi="Arial"/>
                <w:sz w:val="17"/>
              </w:rPr>
              <w:t>Armin Vogel, geboren am 02.02.1962, verstorben am 14.05.2026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Vorgang</w:t>
            </w:r>
          </w:p>
        </w:tc>
        <w:tc>
          <w:tcPr>
            <w:tcW w:type="dxa" w:w="4872"/>
            <w:vAlign w:val="center"/>
            <w:tcMar>
              <w:top w:w="90" w:type="dxa"/>
              <w:start w:w="100" w:type="dxa"/>
              <w:bottom w:w="90" w:type="dxa"/>
              <w:end w:w="100" w:type="dxa"/>
            </w:tcMar>
            <w:shd w:fill="F2F4F5"/>
          </w:tcPr>
          <w:p>
            <w:pPr>
              <w:spacing w:after="30"/>
            </w:pPr>
            <w:r>
              <w:rPr>
                <w:rFonts w:ascii="Arial" w:hAnsi="Arial"/>
                <w:sz w:val="17"/>
              </w:rPr>
              <w:t>NL-VOG-2026-318</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Datum</w:t>
            </w:r>
          </w:p>
        </w:tc>
        <w:tc>
          <w:tcPr>
            <w:tcW w:type="dxa" w:w="4872"/>
            <w:vAlign w:val="center"/>
            <w:tcMar>
              <w:top w:w="90" w:type="dxa"/>
              <w:start w:w="100" w:type="dxa"/>
              <w:bottom w:w="90" w:type="dxa"/>
              <w:end w:w="100" w:type="dxa"/>
            </w:tcMar>
          </w:tcPr>
          <w:p>
            <w:pPr>
              <w:spacing w:after="30"/>
            </w:pPr>
            <w:r>
              <w:rPr>
                <w:rFonts w:ascii="Arial" w:hAnsi="Arial"/>
                <w:sz w:val="17"/>
              </w:rPr>
              <w:t>11.07.2026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Sachbearbeitung</w:t>
            </w:r>
          </w:p>
        </w:tc>
        <w:tc>
          <w:tcPr>
            <w:tcW w:type="dxa" w:w="4872"/>
            <w:vAlign w:val="center"/>
            <w:tcMar>
              <w:top w:w="90" w:type="dxa"/>
              <w:start w:w="100" w:type="dxa"/>
              <w:bottom w:w="90" w:type="dxa"/>
              <w:end w:w="100" w:type="dxa"/>
            </w:tcMar>
            <w:shd w:fill="F2F4F5"/>
          </w:tcPr>
          <w:p>
            <w:pPr>
              <w:spacing w:after="30"/>
            </w:pPr>
            <w:r>
              <w:rPr>
                <w:rFonts w:ascii="Arial" w:hAnsi="Arial"/>
                <w:sz w:val="17"/>
              </w:rPr>
              <w:t>Lena Hartmann, Durchwahl 0721 48099-36</w:t>
            </w:r>
          </w:p>
        </w:tc>
      </w:tr>
    </w:tbl>
    <w:p/>
    <w:p>
      <w:pPr>
        <w:pStyle w:val="Heading1"/>
      </w:pPr>
      <w:r>
        <w:t>1. Konten und Depot</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Produkt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Nummer</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Stand 14.05.2026</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Verfügung</w:t>
            </w:r>
          </w:p>
        </w:tc>
      </w:tr>
      <w:tr>
        <w:tc>
          <w:tcPr>
            <w:tcW w:type="dxa" w:w="2436"/>
            <w:vAlign w:val="center"/>
            <w:tcMar>
              <w:top w:w="90" w:type="dxa"/>
              <w:start w:w="100" w:type="dxa"/>
              <w:bottom w:w="90" w:type="dxa"/>
              <w:end w:w="100" w:type="dxa"/>
            </w:tcMar>
          </w:tcPr>
          <w:p>
            <w:pPr>
              <w:spacing w:after="30"/>
            </w:pPr>
            <w:r>
              <w:rPr>
                <w:rFonts w:ascii="Arial" w:hAnsi="Arial"/>
                <w:sz w:val="17"/>
              </w:rPr>
              <w:t>Girokonto</w:t>
            </w:r>
          </w:p>
        </w:tc>
        <w:tc>
          <w:tcPr>
            <w:tcW w:type="dxa" w:w="2436"/>
            <w:vAlign w:val="center"/>
            <w:tcMar>
              <w:top w:w="90" w:type="dxa"/>
              <w:start w:w="100" w:type="dxa"/>
              <w:bottom w:w="90" w:type="dxa"/>
              <w:end w:w="100" w:type="dxa"/>
            </w:tcMar>
          </w:tcPr>
          <w:p>
            <w:pPr>
              <w:spacing w:after="30"/>
            </w:pPr>
            <w:r>
              <w:rPr>
                <w:rFonts w:ascii="Arial" w:hAnsi="Arial"/>
                <w:sz w:val="17"/>
              </w:rPr>
              <w:t>DE61 6609 0000 0014 8200 17</w:t>
            </w:r>
          </w:p>
        </w:tc>
        <w:tc>
          <w:tcPr>
            <w:tcW w:type="dxa" w:w="2436"/>
            <w:vAlign w:val="center"/>
            <w:tcMar>
              <w:top w:w="90" w:type="dxa"/>
              <w:start w:w="100" w:type="dxa"/>
              <w:bottom w:w="90" w:type="dxa"/>
              <w:end w:w="100" w:type="dxa"/>
            </w:tcMar>
          </w:tcPr>
          <w:p>
            <w:pPr>
              <w:spacing w:after="30"/>
            </w:pPr>
            <w:r>
              <w:rPr>
                <w:rFonts w:ascii="Arial" w:hAnsi="Arial"/>
                <w:sz w:val="17"/>
              </w:rPr>
              <w:t>38412,72 EUR</w:t>
            </w:r>
          </w:p>
        </w:tc>
        <w:tc>
          <w:tcPr>
            <w:tcW w:type="dxa" w:w="2436"/>
            <w:vAlign w:val="center"/>
            <w:tcMar>
              <w:top w:w="90" w:type="dxa"/>
              <w:start w:w="100" w:type="dxa"/>
              <w:bottom w:w="90" w:type="dxa"/>
              <w:end w:w="100" w:type="dxa"/>
            </w:tcMar>
          </w:tcPr>
          <w:p>
            <w:pPr>
              <w:spacing w:after="30"/>
            </w:pPr>
            <w:r>
              <w:rPr>
                <w:rFonts w:ascii="Arial" w:hAnsi="Arial"/>
                <w:sz w:val="17"/>
              </w:rPr>
              <w:t>Einzelkonto</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Tagesgeld</w:t>
            </w:r>
          </w:p>
        </w:tc>
        <w:tc>
          <w:tcPr>
            <w:tcW w:type="dxa" w:w="2436"/>
            <w:vAlign w:val="center"/>
            <w:tcMar>
              <w:top w:w="90" w:type="dxa"/>
              <w:start w:w="100" w:type="dxa"/>
              <w:bottom w:w="90" w:type="dxa"/>
              <w:end w:w="100" w:type="dxa"/>
            </w:tcMar>
            <w:shd w:fill="F2F4F5"/>
          </w:tcPr>
          <w:p>
            <w:pPr>
              <w:spacing w:after="30"/>
            </w:pPr>
            <w:r>
              <w:rPr>
                <w:rFonts w:ascii="Arial" w:hAnsi="Arial"/>
                <w:sz w:val="17"/>
              </w:rPr>
              <w:t>DE18 6609 0000 0099 2010 04</w:t>
            </w:r>
          </w:p>
        </w:tc>
        <w:tc>
          <w:tcPr>
            <w:tcW w:type="dxa" w:w="2436"/>
            <w:vAlign w:val="center"/>
            <w:tcMar>
              <w:top w:w="90" w:type="dxa"/>
              <w:start w:w="100" w:type="dxa"/>
              <w:bottom w:w="90" w:type="dxa"/>
              <w:end w:w="100" w:type="dxa"/>
            </w:tcMar>
            <w:shd w:fill="F2F4F5"/>
          </w:tcPr>
          <w:p>
            <w:pPr>
              <w:spacing w:after="30"/>
            </w:pPr>
            <w:r>
              <w:rPr>
                <w:rFonts w:ascii="Arial" w:hAnsi="Arial"/>
                <w:sz w:val="17"/>
              </w:rPr>
              <w:t>112080,40 EUR</w:t>
            </w:r>
          </w:p>
        </w:tc>
        <w:tc>
          <w:tcPr>
            <w:tcW w:type="dxa" w:w="2436"/>
            <w:vAlign w:val="center"/>
            <w:tcMar>
              <w:top w:w="90" w:type="dxa"/>
              <w:start w:w="100" w:type="dxa"/>
              <w:bottom w:w="90" w:type="dxa"/>
              <w:end w:w="100" w:type="dxa"/>
            </w:tcMar>
            <w:shd w:fill="F2F4F5"/>
          </w:tcPr>
          <w:p>
            <w:pPr>
              <w:spacing w:after="30"/>
            </w:pPr>
            <w:r>
              <w:rPr>
                <w:rFonts w:ascii="Arial" w:hAnsi="Arial"/>
                <w:sz w:val="17"/>
              </w:rPr>
              <w:t>Einzelkonto</w:t>
            </w:r>
          </w:p>
        </w:tc>
      </w:tr>
      <w:tr>
        <w:tc>
          <w:tcPr>
            <w:tcW w:type="dxa" w:w="2436"/>
            <w:vAlign w:val="center"/>
            <w:tcMar>
              <w:top w:w="90" w:type="dxa"/>
              <w:start w:w="100" w:type="dxa"/>
              <w:bottom w:w="90" w:type="dxa"/>
              <w:end w:w="100" w:type="dxa"/>
            </w:tcMar>
          </w:tcPr>
          <w:p>
            <w:pPr>
              <w:spacing w:after="30"/>
            </w:pPr>
            <w:r>
              <w:rPr>
                <w:rFonts w:ascii="Arial" w:hAnsi="Arial"/>
                <w:sz w:val="17"/>
              </w:rPr>
              <w:t>Depot</w:t>
            </w:r>
          </w:p>
        </w:tc>
        <w:tc>
          <w:tcPr>
            <w:tcW w:type="dxa" w:w="2436"/>
            <w:vAlign w:val="center"/>
            <w:tcMar>
              <w:top w:w="90" w:type="dxa"/>
              <w:start w:w="100" w:type="dxa"/>
              <w:bottom w:w="90" w:type="dxa"/>
              <w:end w:w="100" w:type="dxa"/>
            </w:tcMar>
          </w:tcPr>
          <w:p>
            <w:pPr>
              <w:spacing w:after="30"/>
            </w:pPr>
            <w:r>
              <w:rPr>
                <w:rFonts w:ascii="Arial" w:hAnsi="Arial"/>
                <w:sz w:val="17"/>
              </w:rPr>
              <w:t>D-771048</w:t>
            </w:r>
          </w:p>
        </w:tc>
        <w:tc>
          <w:tcPr>
            <w:tcW w:type="dxa" w:w="2436"/>
            <w:vAlign w:val="center"/>
            <w:tcMar>
              <w:top w:w="90" w:type="dxa"/>
              <w:start w:w="100" w:type="dxa"/>
              <w:bottom w:w="90" w:type="dxa"/>
              <w:end w:w="100" w:type="dxa"/>
            </w:tcMar>
          </w:tcPr>
          <w:p>
            <w:pPr>
              <w:spacing w:after="30"/>
            </w:pPr>
            <w:r>
              <w:rPr>
                <w:rFonts w:ascii="Arial" w:hAnsi="Arial"/>
                <w:sz w:val="17"/>
              </w:rPr>
              <w:t>410284,61 EUR</w:t>
            </w:r>
          </w:p>
        </w:tc>
        <w:tc>
          <w:tcPr>
            <w:tcW w:type="dxa" w:w="2436"/>
            <w:vAlign w:val="center"/>
            <w:tcMar>
              <w:top w:w="90" w:type="dxa"/>
              <w:start w:w="100" w:type="dxa"/>
              <w:bottom w:w="90" w:type="dxa"/>
              <w:end w:w="100" w:type="dxa"/>
            </w:tcMar>
          </w:tcPr>
          <w:p>
            <w:pPr>
              <w:spacing w:after="30"/>
            </w:pPr>
            <w:r>
              <w:rPr>
                <w:rFonts w:ascii="Arial" w:hAnsi="Arial"/>
                <w:sz w:val="17"/>
              </w:rPr>
              <w:t>Einzeldepot</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Gemeinschaftskonto Fiona/Armin</w:t>
            </w:r>
          </w:p>
        </w:tc>
        <w:tc>
          <w:tcPr>
            <w:tcW w:type="dxa" w:w="2436"/>
            <w:vAlign w:val="center"/>
            <w:tcMar>
              <w:top w:w="90" w:type="dxa"/>
              <w:start w:w="100" w:type="dxa"/>
              <w:bottom w:w="90" w:type="dxa"/>
              <w:end w:w="100" w:type="dxa"/>
            </w:tcMar>
            <w:shd w:fill="F2F4F5"/>
          </w:tcPr>
          <w:p>
            <w:pPr>
              <w:spacing w:after="30"/>
            </w:pPr>
            <w:r>
              <w:rPr>
                <w:rFonts w:ascii="Arial" w:hAnsi="Arial"/>
                <w:sz w:val="17"/>
              </w:rPr>
              <w:t>DE77 6609 0000 0033 1500 22</w:t>
            </w:r>
          </w:p>
        </w:tc>
        <w:tc>
          <w:tcPr>
            <w:tcW w:type="dxa" w:w="2436"/>
            <w:vAlign w:val="center"/>
            <w:tcMar>
              <w:top w:w="90" w:type="dxa"/>
              <w:start w:w="100" w:type="dxa"/>
              <w:bottom w:w="90" w:type="dxa"/>
              <w:end w:w="100" w:type="dxa"/>
            </w:tcMar>
            <w:shd w:fill="F2F4F5"/>
          </w:tcPr>
          <w:p>
            <w:pPr>
              <w:spacing w:after="30"/>
            </w:pPr>
            <w:r>
              <w:rPr>
                <w:rFonts w:ascii="Arial" w:hAnsi="Arial"/>
                <w:sz w:val="17"/>
              </w:rPr>
              <w:t>21960,18 EUR</w:t>
            </w:r>
          </w:p>
        </w:tc>
        <w:tc>
          <w:tcPr>
            <w:tcW w:type="dxa" w:w="2436"/>
            <w:vAlign w:val="center"/>
            <w:tcMar>
              <w:top w:w="90" w:type="dxa"/>
              <w:start w:w="100" w:type="dxa"/>
              <w:bottom w:w="90" w:type="dxa"/>
              <w:end w:w="100" w:type="dxa"/>
            </w:tcMar>
            <w:shd w:fill="F2F4F5"/>
          </w:tcPr>
          <w:p>
            <w:pPr>
              <w:spacing w:after="30"/>
            </w:pPr>
            <w:r>
              <w:rPr>
                <w:rFonts w:ascii="Arial" w:hAnsi="Arial"/>
                <w:sz w:val="17"/>
              </w:rPr>
              <w:t>Oder-Konto</w:t>
            </w:r>
          </w:p>
        </w:tc>
      </w:tr>
    </w:tbl>
    <w:p>
      <w:pPr>
        <w:pStyle w:val="Heading1"/>
      </w:pPr>
      <w:r>
        <w:t>2. Vollmachten und Buchungen</w:t>
      </w:r>
    </w:p>
    <w:p>
      <w:pPr>
        <w:keepLines w:val="0"/>
      </w:pPr>
      <w:r>
        <w:t>Fiona Radtke-Vogel besaß seit dem 04.09.2021 eine transmortale Vollmacht für Giro- und Tagesgeldkonto, nicht für das Depot. Am 16.05.2026 wurden vom Gemeinschaftskonto 8400,00 EUR für Bestattungsanzahlung, Hausgeld, Energie und eine Klinikrechnung gezahlt. Belege wurden der Bank vorgelegt; die erbrechtliche Zuordnung prüft die Bank nicht.</w:t>
      </w:r>
    </w:p>
    <w:p>
      <w:pPr>
        <w:keepLines w:val="0"/>
      </w:pPr>
      <w:r>
        <w:t>Vom Einzelkonto und Depot erfolgten nach dem Tod keine Verfügungen. Beate Vogel und Dana Radtke waren nicht bevollmächtigt.</w:t>
      </w:r>
    </w:p>
    <w:p>
      <w:pPr>
        <w:pStyle w:val="Heading1"/>
      </w:pPr>
      <w:r>
        <w:t>3. Schließfach</w:t>
      </w:r>
    </w:p>
    <w:p>
      <w:pPr>
        <w:keepLines w:val="0"/>
      </w:pPr>
      <w:r>
        <w:t>Schließfach 312 wurde am 20.05.2026 in Anwesenheit Fionas und der Bankmitarbeiterin Lena Hartmann geöffnet. Protokolliert wurden eine Schmuckschatulle, Fahrzeugpapiere des Mercedes 280 SL, zwei Ersatzschlüssel und drei verschlossene Umschläge mit den Aufschriften Testament, Clemens und Fiona. Die Gegenstände wurden unter Siegel BN-312-26 wieder eingelagert.</w:t>
      </w:r>
    </w:p>
    <w:p>
      <w:pPr>
        <w:pStyle w:val="Heading1"/>
      </w:pPr>
      <w:r>
        <w:t>4. Finanzierungsunterlagen Wohnung</w:t>
      </w:r>
    </w:p>
    <w:p>
      <w:pPr>
        <w:keepLines w:val="0"/>
      </w:pPr>
      <w:r>
        <w:t>Die Wohnung Sophienstraße 41 steht nach dem Grundbuchauszug allein im Eigentum Armin Vogels. Das Immobiliendarlehen valutierte am Todestag mit 96884,30 EUR. Die monatliche Rate von 1120,00 EUR wurde am 02.06.2026 noch vom Girokonto eingezogen. Eine Ablösung oder Vertragsübernahme ist nicht vereinbart.</w:t>
      </w:r>
    </w:p>
    <w:p>
      <w:pPr>
        <w:keepLines w:val="0"/>
      </w:pPr>
      <w:r>
        <w:t>Badische Nachlassbank eG</w:t>
        <w:br/>
        <w:t>Lena Hartmann, Nachlassservice</w:t>
        <w:br/>
        <w:t>Thomas Kern, Teamleiter</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Nachlassservice | Kaiserstraße 132 | 76133 Karlsruhe | BLZ 66090000 | BIC GENODE61KA1</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Badische Nachlassbank eG</w:t>
          </w:r>
        </w:p>
        <w:p>
          <w:pPr>
            <w:spacing w:after="0"/>
          </w:pPr>
          <w:r>
            <w:rPr>
              <w:color w:val="6B7378"/>
              <w:sz w:val="15"/>
            </w:rPr>
            <w:t>Nachlassservice | Kaiserstraße 132 | 76133 Karlsruhe | BLZ 66090000 | BIC GENODE61KA1</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