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Fristenkalender und Postausgang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blHeader w:val="true"/>
        </w:trPr>
        <w:tc>
          <w:tcPr>
            <w:tcW w:type="dxa" w:w="4872"/>
            <w:shd w:fill="17324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Stand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14.07.2026, 17:10 Uhr</w:t>
            </w:r>
          </w:p>
        </w:tc>
      </w:tr>
      <w:tr>
        <w:tc>
          <w:tcPr>
            <w:tcW w:type="dxa" w:w="4872"/>
            <w:shd w:fill="EAF1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Kalenderführung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Isabel Neumann</w:t>
            </w:r>
          </w:p>
        </w:tc>
      </w:tr>
      <w:tr>
        <w:tc>
          <w:tcPr>
            <w:tcW w:type="dxa" w:w="4872"/>
            <w:shd w:fill="F2F4F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17324D"/>
                <w:sz w:val="17"/>
              </w:rPr>
              <w:t>Kontrolle</w:t>
            </w:r>
          </w:p>
        </w:tc>
        <w:tc>
          <w:tcPr>
            <w:tcW w:type="dxa" w:w="4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Dr. Maren Heller</w:t>
            </w:r>
          </w:p>
        </w:tc>
      </w:tr>
    </w:tbl>
    <w:p/>
    <w:p>
      <w:pPr>
        <w:pStyle w:val="Heading1"/>
      </w:pPr>
      <w:r>
        <w:t>1. Fristen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Vorgang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Aktenzeichen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Vorfrist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17.07.2026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Eingang Nachrichtenexport Lutz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HB-226/26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15.07.2026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angekündigt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22.07.2026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Notariat Dr. Holl – Urkundenverzeichnis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HB-226/26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20.07.2026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Anfrage zugestellt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29.07.2026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Stellungnahme Nachlassgericht Armin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4 VI 312/26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24.07.2026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Entwurf in Arbeit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05.08.2026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Erbscheinverfahren Clemens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4 VI 356/26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31.07.2026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Unterlagen vollständig prüfen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14.08.2026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Bank Schließfachverwahrung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NL-VOG-2026-318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10.08.2026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Verlängerung klären</w:t>
            </w:r>
          </w:p>
        </w:tc>
      </w:tr>
    </w:tbl>
    <w:p>
      <w:pPr>
        <w:pStyle w:val="Heading1"/>
      </w:pPr>
      <w:r>
        <w:t>2. Postausgang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Datum / Uhrzeit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Empfänger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Dokument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Kanal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Nachweis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09.07.2026, 10:14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Notariat Dr. Holl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Anfrage Urkundenverzeichnis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beA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Eingang 10:17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10.07.2026, 15:42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Rechtsanwalt Bach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Protokollberichtigung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beA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Eingang bestätigt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13.07.2026, 09:05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Standesamt Karlsruhe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Registerergänzung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Behördenpostfach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Vorgang PSt 26/441</w:t>
            </w:r>
          </w:p>
        </w:tc>
      </w:tr>
      <w:tr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14.07.2026, 16:33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Fiona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Terminprotokoll und Aufgabenliste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Mandantenportal</w:t>
            </w:r>
          </w:p>
        </w:tc>
        <w:tc>
          <w:tcPr>
            <w:tcW w:type="dxa" w:w="1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Abruf 16:51</w:t>
            </w:r>
          </w:p>
        </w:tc>
      </w:tr>
    </w:tbl>
    <w:p>
      <w:pPr>
        <w:pStyle w:val="Heading1"/>
      </w:pPr>
      <w:r>
        <w:t>3. Kontrollvermerk</w:t>
      </w:r>
    </w:p>
    <w:p>
      <w:pPr>
        <w:keepLines w:val="0"/>
      </w:pPr>
      <w:r>
        <w:t>Jeder Schriftsatz nennt den betroffenen Erbfall und das gerichtliche Geschäftszeichen. Anlagen zu Armin und Clemens werden nicht in einer gemeinsamen Nummernfolge geführt. Das verhindert, dass Register- und Vermögensbelege dem falschen Nachlass zugeordnet werden.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62" w:right="1219" w:bottom="1162" w:left="1276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60"/>
      <w:jc w:val="center"/>
    </w:pPr>
    <w:r>
      <w:rPr>
        <w:rFonts w:ascii="Arial" w:hAnsi="Arial"/>
        <w:color w:val="6B7378"/>
        <w:sz w:val="12"/>
      </w:rPr>
      <w:t>Dr. Maren Heller, Rechtsanwältin und Fachanwältin für Erbrecht | Anderkonto DE68 6602 0500 0047 8200 31 | BIC BFSWDE33KRL | St.-Nr. 35/127/08421 | Berufshaftpflicht: JurAssekuranz AG, Karlsruhe</w:t>
    </w:r>
  </w:p>
  <w:p>
    <w:pPr>
      <w:spacing w:after="0"/>
      <w:jc w:val="center"/>
    </w:pPr>
    <w:r>
      <w:rPr>
        <w:color w:val="6B7378"/>
        <w:sz w:val="14"/>
      </w:rPr>
      <w:t xml:space="preserve">Seite </w:t>
    </w:r>
    <w:r>
      <w:rPr>
        <w:color w:val="6B7378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0" w:space="4" w:color="2F6684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066"/>
      <w:gridCol w:w="3345"/>
    </w:tblGrid>
    <w:tr>
      <w:tc>
        <w:tcPr>
          <w:tcW w:type="dxa" w:w="4706"/>
        </w:tcPr>
        <w:p>
          <w:pPr>
            <w:spacing w:after="20"/>
          </w:pPr>
          <w:r>
            <w:rPr>
              <w:rFonts w:ascii="Arial" w:hAnsi="Arial"/>
              <w:b/>
              <w:color w:val="17324D"/>
              <w:sz w:val="21"/>
            </w:rPr>
            <w:t>Heller &amp; Brückner Rechtsanwälte</w:t>
          </w:r>
        </w:p>
        <w:p>
          <w:pPr>
            <w:spacing w:after="0"/>
          </w:pPr>
          <w:r>
            <w:rPr>
              <w:color w:val="6B7378"/>
              <w:sz w:val="15"/>
            </w:rPr>
            <w:t>Erbrecht und Vermögensnachfolge | Kaiserstraße 104 | 76133 Karlsruhe</w:t>
          </w:r>
        </w:p>
      </w:tc>
      <w:tc>
        <w:tcPr>
          <w:tcW w:type="dxa" w:w="4706"/>
        </w:tcPr>
        <w:p>
          <w:pPr>
            <w:spacing w:after="20"/>
            <w:jc w:val="right"/>
          </w:pPr>
          <w:r>
            <w:rPr>
              <w:b/>
              <w:color w:val="17324D"/>
              <w:sz w:val="18"/>
            </w:rPr>
            <w:t>Nachlässe Vogel und Radtke</w:t>
          </w:r>
        </w:p>
        <w:p>
          <w:pPr>
            <w:spacing w:after="0"/>
            <w:jc w:val="right"/>
          </w:pPr>
          <w:r>
            <w:rPr>
              <w:color w:val="6B7378"/>
              <w:sz w:val="15"/>
            </w:rPr>
            <w:t>Aktenzeichen HB-226/26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6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Heller &amp; Brückner Rechtsanwälte</dc:creator>
  <cp:keywords/>
  <dc:description>generated by python-docx</dc:description>
  <cp:lastModifiedBy>Heller &amp; Brückner Rechtsanwälte</cp:lastModifiedBy>
  <cp:revision>1</cp:revision>
  <dcterms:created xsi:type="dcterms:W3CDTF">2026-07-15T12:00:00Z</dcterms:created>
  <dcterms:modified xsi:type="dcterms:W3CDTF">2026-07-15T12:00:00Z</dcterms:modified>
  <cp:category/>
</cp:coreProperties>
</file>