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Mandatsnotiz</w:t>
      </w:r>
    </w:p>
    <w:p>
      <w:pPr>
        <w:widowControl/>
        <w:jc w:val="left"/>
      </w:pPr>
      <w:r>
        <w:rPr>
          <w:rFonts w:ascii="Arial" w:hAnsi="Arial" w:eastAsia="Arial"/>
        </w:rPr>
        <w:t>Mandant: Moritz Rieken, geboren am 16.03.1978, Tischlermeister in Lüneburg. Erblasser: Helmut Rieken, geboren am 04.01.1946, verstorben am 18.05.2026. Weitere Beteiligte: Alva Rieken, geboren am 12.09.1981, Schwester des Mandanten, eingesetzte Alleinerbin.</w:t>
      </w:r>
    </w:p>
    <w:p>
      <w:pPr>
        <w:pStyle w:val="Heading2"/>
        <w:widowControl/>
      </w:pPr>
      <w:r>
        <w:rPr>
          <w:rFonts w:ascii="Arial" w:hAnsi="Arial" w:eastAsia="Arial"/>
        </w:rPr>
        <w:t>Familienlage</w:t>
      </w:r>
    </w:p>
    <w:p>
      <w:pPr>
        <w:widowControl/>
        <w:jc w:val="left"/>
      </w:pPr>
      <w:r>
        <w:rPr>
          <w:rFonts w:ascii="Arial" w:hAnsi="Arial" w:eastAsia="Arial"/>
        </w:rPr>
        <w:t>Helmut Rieken war verwitwet. Ehefrau Marianne Rieken verstarb 2018. Die Kinder Moritz und Alva sind die einzigen Abkömmlinge. Das Verhältnis zwischen Vater und Moritz verschlechterte sich nach der Übertragung des Resthofs auf Alva im Jahr 2019. Moritz erhielt damals 35.000,00 EUR "für den Werkstattumbau", ohne schriftlichen Vertrag.</w:t>
      </w:r>
    </w:p>
    <w:p>
      <w:pPr>
        <w:pStyle w:val="Heading2"/>
        <w:widowControl/>
      </w:pPr>
      <w:r>
        <w:rPr>
          <w:rFonts w:ascii="Arial" w:hAnsi="Arial" w:eastAsia="Arial"/>
        </w:rPr>
        <w:t>Anlass</w:t>
      </w:r>
    </w:p>
    <w:p>
      <w:pPr>
        <w:widowControl/>
        <w:jc w:val="left"/>
      </w:pPr>
      <w:r>
        <w:rPr>
          <w:rFonts w:ascii="Arial" w:hAnsi="Arial" w:eastAsia="Arial"/>
        </w:rPr>
        <w:t>Alva übersandte am 12.06.2026 ein kurzes Schreiben: "Vater hat mich als Alleinerbin eingesetzt. Für dich ist nichts vorgesehen, weil du deinen Teil schon bekommen hast." Ein Testament in Kopie lag bei. Ein Nachlassverzeichnis wurde nicht beigefügt.</w:t>
      </w:r>
    </w:p>
    <w:p>
      <w:pPr>
        <w:pStyle w:val="Heading2"/>
        <w:widowControl/>
      </w:pPr>
      <w:r>
        <w:rPr>
          <w:rFonts w:ascii="Arial" w:hAnsi="Arial" w:eastAsia="Arial"/>
        </w:rPr>
        <w:t>Vermutete Vermögensbewegungen</w:t>
      </w:r>
    </w:p>
    <w:p>
      <w:pPr>
        <w:pStyle w:val="ListNumber"/>
        <w:widowControl/>
      </w:pPr>
      <w:r>
        <w:rPr>
          <w:rFonts w:ascii="Arial" w:hAnsi="Arial" w:eastAsia="Arial"/>
        </w:rPr>
        <w:t>Resthof in Kirchgellersen, Übertragung 2019.</w:t>
      </w:r>
    </w:p>
    <w:p>
      <w:pPr>
        <w:pStyle w:val="ListNumber"/>
        <w:widowControl/>
      </w:pPr>
      <w:r>
        <w:rPr>
          <w:rFonts w:ascii="Arial" w:hAnsi="Arial" w:eastAsia="Arial"/>
        </w:rPr>
        <w:t>Baugrundstück Bardowick, Übertragung 2021.</w:t>
      </w:r>
    </w:p>
    <w:p>
      <w:pPr>
        <w:pStyle w:val="ListNumber"/>
        <w:widowControl/>
      </w:pPr>
      <w:r>
        <w:rPr>
          <w:rFonts w:ascii="Arial" w:hAnsi="Arial" w:eastAsia="Arial"/>
        </w:rPr>
        <w:t>Baugrundstück Reppenstedt, Verkauf durch Alva 2023.</w:t>
      </w:r>
    </w:p>
    <w:p>
      <w:pPr>
        <w:pStyle w:val="ListNumber"/>
        <w:widowControl/>
      </w:pPr>
      <w:r>
        <w:rPr>
          <w:rFonts w:ascii="Arial" w:hAnsi="Arial" w:eastAsia="Arial"/>
        </w:rPr>
        <w:t>Depot bei NordBank, unklarer Abfluss 2024.</w:t>
      </w:r>
    </w:p>
    <w:p>
      <w:pPr>
        <w:pStyle w:val="ListNumber"/>
        <w:widowControl/>
      </w:pPr>
      <w:r>
        <w:rPr>
          <w:rFonts w:ascii="Arial" w:hAnsi="Arial" w:eastAsia="Arial"/>
        </w:rPr>
        <w:t>Pflegeleistungen der Alva von 2022 bis 2026.</w:t>
      </w:r>
    </w:p>
    <w:p>
      <w:pPr>
        <w:pStyle w:val="Heading2"/>
        <w:widowControl/>
      </w:pPr>
      <w:r>
        <w:rPr>
          <w:rFonts w:ascii="Arial" w:hAnsi="Arial" w:eastAsia="Arial"/>
        </w:rPr>
        <w:t>Ziel</w:t>
      </w:r>
    </w:p>
    <w:p>
      <w:pPr>
        <w:widowControl/>
        <w:jc w:val="left"/>
      </w:pPr>
      <w:r>
        <w:rPr>
          <w:rFonts w:ascii="Arial" w:hAnsi="Arial" w:eastAsia="Arial"/>
        </w:rPr>
        <w:t>Moritz will nicht den Hof zurück. Er will wissen, ob sein Pflichtteil und ein Ergänzungsanspruch bestehen und ob die 35.000,00 EUR auf seinen Anspruch anzurechnen sind.</w:t>
      </w:r>
    </w:p>
    <w:p>
      <w:pPr>
        <w:pStyle w:val="Heading1"/>
        <w:widowControl/>
      </w:pPr>
      <w:r>
        <w:rPr>
          <w:rFonts w:ascii="Arial" w:hAnsi="Arial" w:eastAsia="Arial"/>
        </w:rPr>
        <w:t>6. Gesprächsdetails und Belegübergabe</w:t>
      </w:r>
    </w:p>
    <w:p>
      <w:pPr>
        <w:keepLines w:val="0"/>
        <w:widowControl/>
      </w:pPr>
      <w:r>
        <w:rPr>
          <w:rFonts w:ascii="Arial" w:hAnsi="Arial" w:eastAsia="Arial"/>
        </w:rPr>
        <w:t>Das Erstgespräch fand am 26.06.2026 von 13:15 bis 14:48 Uhr statt. Moritz brachte die Testamentkopie, den Kontoauszug zur Zahlung von 35000,00 EUR, zwölf Fotos des Hofs und einen ungeöffneten Briefumschlag seiner Schwester mit. Sekretariatsmitarbeiterin Bärbel Timm nahm die Originale gegen Quittung auf.</w:t>
      </w:r>
    </w:p>
    <w:p>
      <w:pPr>
        <w:keepLines w:val="0"/>
        <w:widowControl/>
      </w:pPr>
      <w:r>
        <w:rPr>
          <w:rFonts w:ascii="Arial" w:hAnsi="Arial" w:eastAsia="Arial"/>
        </w:rPr>
        <w:t>Moritz berichtete, sein Vater habe den Werkstattzuschuss am 14.06.2019 im Büro der Tischlerei angekündigt. Anwesend sei Geselle Jan Feddersen gewesen. Eine Anrechnungsbestimmung habe Moritz nicht gehört. Diese Erinnerung wird als Mandantenangabe, nicht als feststehende Tatsache geführt.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blHeader w:val="true"/>
          <w:tblHeader w:val="true"/>
        </w:trPr>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Unterlage</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Original oder Kopie</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Eingang</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Nächster Schritt</w:t>
            </w:r>
          </w:p>
        </w:tc>
      </w:tr>
      <w:tr>
        <w:tc>
          <w:tcPr>
            <w:tcW w:type="dxa" w:w="2353"/>
            <w:vAlign w:val="center"/>
            <w:tcMar>
              <w:top w:w="90" w:type="dxa"/>
              <w:start w:w="100" w:type="dxa"/>
              <w:bottom w:w="90" w:type="dxa"/>
              <w:end w:w="100" w:type="dxa"/>
            </w:tcMar>
          </w:tcPr>
          <w:p>
            <w:pPr>
              <w:spacing w:after="30"/>
            </w:pPr>
            <w:r>
              <w:rPr>
                <w:rFonts w:ascii="Arial" w:hAnsi="Arial"/>
                <w:sz w:val="17"/>
              </w:rPr>
              <w:t>Testament 17.11.2022</w:t>
            </w:r>
          </w:p>
        </w:tc>
        <w:tc>
          <w:tcPr>
            <w:tcW w:type="dxa" w:w="2353"/>
            <w:vAlign w:val="center"/>
            <w:tcMar>
              <w:top w:w="90" w:type="dxa"/>
              <w:start w:w="100" w:type="dxa"/>
              <w:bottom w:w="90" w:type="dxa"/>
              <w:end w:w="100" w:type="dxa"/>
            </w:tcMar>
          </w:tcPr>
          <w:p>
            <w:pPr>
              <w:spacing w:after="30"/>
            </w:pPr>
            <w:r>
              <w:rPr>
                <w:rFonts w:ascii="Arial" w:hAnsi="Arial"/>
                <w:sz w:val="17"/>
              </w:rPr>
              <w:t>Kopie</w:t>
            </w:r>
          </w:p>
        </w:tc>
        <w:tc>
          <w:tcPr>
            <w:tcW w:type="dxa" w:w="2353"/>
            <w:vAlign w:val="center"/>
            <w:tcMar>
              <w:top w:w="90" w:type="dxa"/>
              <w:start w:w="100" w:type="dxa"/>
              <w:bottom w:w="90" w:type="dxa"/>
              <w:end w:w="100" w:type="dxa"/>
            </w:tcMar>
          </w:tcPr>
          <w:p>
            <w:pPr>
              <w:spacing w:after="30"/>
            </w:pPr>
            <w:r>
              <w:rPr>
                <w:rFonts w:ascii="Arial" w:hAnsi="Arial"/>
                <w:sz w:val="17"/>
              </w:rPr>
              <w:t>26.06.2026</w:t>
            </w:r>
          </w:p>
        </w:tc>
        <w:tc>
          <w:tcPr>
            <w:tcW w:type="dxa" w:w="2353"/>
            <w:vAlign w:val="center"/>
            <w:tcMar>
              <w:top w:w="90" w:type="dxa"/>
              <w:start w:w="100" w:type="dxa"/>
              <w:bottom w:w="90" w:type="dxa"/>
              <w:end w:w="100" w:type="dxa"/>
            </w:tcMar>
          </w:tcPr>
          <w:p>
            <w:pPr>
              <w:spacing w:after="30"/>
            </w:pPr>
            <w:r>
              <w:rPr>
                <w:rFonts w:ascii="Arial" w:hAnsi="Arial"/>
                <w:sz w:val="17"/>
              </w:rPr>
              <w:t>Gerichtsabschrift abgleichen</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Kontoauszug 14.06.2019</w:t>
            </w:r>
          </w:p>
        </w:tc>
        <w:tc>
          <w:tcPr>
            <w:tcW w:type="dxa" w:w="2353"/>
            <w:vAlign w:val="center"/>
            <w:tcMar>
              <w:top w:w="90" w:type="dxa"/>
              <w:start w:w="100" w:type="dxa"/>
              <w:bottom w:w="90" w:type="dxa"/>
              <w:end w:w="100" w:type="dxa"/>
            </w:tcMar>
            <w:shd w:fill="F2F4F5"/>
          </w:tcPr>
          <w:p>
            <w:pPr>
              <w:spacing w:after="30"/>
            </w:pPr>
            <w:r>
              <w:rPr>
                <w:rFonts w:ascii="Arial" w:hAnsi="Arial"/>
                <w:sz w:val="17"/>
              </w:rPr>
              <w:t>Original</w:t>
            </w:r>
          </w:p>
        </w:tc>
        <w:tc>
          <w:tcPr>
            <w:tcW w:type="dxa" w:w="2353"/>
            <w:vAlign w:val="center"/>
            <w:tcMar>
              <w:top w:w="90" w:type="dxa"/>
              <w:start w:w="100" w:type="dxa"/>
              <w:bottom w:w="90" w:type="dxa"/>
              <w:end w:w="100" w:type="dxa"/>
            </w:tcMar>
            <w:shd w:fill="F2F4F5"/>
          </w:tcPr>
          <w:p>
            <w:pPr>
              <w:spacing w:after="30"/>
            </w:pPr>
            <w:r>
              <w:rPr>
                <w:rFonts w:ascii="Arial" w:hAnsi="Arial"/>
                <w:sz w:val="17"/>
              </w:rPr>
              <w:t>26.06.2026</w:t>
            </w:r>
          </w:p>
        </w:tc>
        <w:tc>
          <w:tcPr>
            <w:tcW w:type="dxa" w:w="2353"/>
            <w:vAlign w:val="center"/>
            <w:tcMar>
              <w:top w:w="90" w:type="dxa"/>
              <w:start w:w="100" w:type="dxa"/>
              <w:bottom w:w="90" w:type="dxa"/>
              <w:end w:w="100" w:type="dxa"/>
            </w:tcMar>
            <w:shd w:fill="F2F4F5"/>
          </w:tcPr>
          <w:p>
            <w:pPr>
              <w:spacing w:after="30"/>
            </w:pPr>
            <w:r>
              <w:rPr>
                <w:rFonts w:ascii="Arial" w:hAnsi="Arial"/>
                <w:sz w:val="17"/>
              </w:rPr>
              <w:t>Verwendungszweck sichern</w:t>
            </w:r>
          </w:p>
        </w:tc>
      </w:tr>
      <w:tr>
        <w:tc>
          <w:tcPr>
            <w:tcW w:type="dxa" w:w="2353"/>
            <w:vAlign w:val="center"/>
            <w:tcMar>
              <w:top w:w="90" w:type="dxa"/>
              <w:start w:w="100" w:type="dxa"/>
              <w:bottom w:w="90" w:type="dxa"/>
              <w:end w:w="100" w:type="dxa"/>
            </w:tcMar>
          </w:tcPr>
          <w:p>
            <w:pPr>
              <w:spacing w:after="30"/>
            </w:pPr>
            <w:r>
              <w:rPr>
                <w:rFonts w:ascii="Arial" w:hAnsi="Arial"/>
                <w:sz w:val="17"/>
              </w:rPr>
              <w:t>Hoffotos</w:t>
            </w:r>
          </w:p>
        </w:tc>
        <w:tc>
          <w:tcPr>
            <w:tcW w:type="dxa" w:w="2353"/>
            <w:vAlign w:val="center"/>
            <w:tcMar>
              <w:top w:w="90" w:type="dxa"/>
              <w:start w:w="100" w:type="dxa"/>
              <w:bottom w:w="90" w:type="dxa"/>
              <w:end w:w="100" w:type="dxa"/>
            </w:tcMar>
          </w:tcPr>
          <w:p>
            <w:pPr>
              <w:spacing w:after="30"/>
            </w:pPr>
            <w:r>
              <w:rPr>
                <w:rFonts w:ascii="Arial" w:hAnsi="Arial"/>
                <w:sz w:val="17"/>
              </w:rPr>
              <w:t>digitale Kopien</w:t>
            </w:r>
          </w:p>
        </w:tc>
        <w:tc>
          <w:tcPr>
            <w:tcW w:type="dxa" w:w="2353"/>
            <w:vAlign w:val="center"/>
            <w:tcMar>
              <w:top w:w="90" w:type="dxa"/>
              <w:start w:w="100" w:type="dxa"/>
              <w:bottom w:w="90" w:type="dxa"/>
              <w:end w:w="100" w:type="dxa"/>
            </w:tcMar>
          </w:tcPr>
          <w:p>
            <w:pPr>
              <w:spacing w:after="30"/>
            </w:pPr>
            <w:r>
              <w:rPr>
                <w:rFonts w:ascii="Arial" w:hAnsi="Arial"/>
                <w:sz w:val="17"/>
              </w:rPr>
              <w:t>26.06.2026</w:t>
            </w:r>
          </w:p>
        </w:tc>
        <w:tc>
          <w:tcPr>
            <w:tcW w:type="dxa" w:w="2353"/>
            <w:vAlign w:val="center"/>
            <w:tcMar>
              <w:top w:w="90" w:type="dxa"/>
              <w:start w:w="100" w:type="dxa"/>
              <w:bottom w:w="90" w:type="dxa"/>
              <w:end w:w="100" w:type="dxa"/>
            </w:tcMar>
          </w:tcPr>
          <w:p>
            <w:pPr>
              <w:spacing w:after="30"/>
            </w:pPr>
            <w:r>
              <w:rPr>
                <w:rFonts w:ascii="Arial" w:hAnsi="Arial"/>
                <w:sz w:val="17"/>
              </w:rPr>
              <w:t>Aufnahmedaten prüfen</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Schreiben Alva 12.06.2026</w:t>
            </w:r>
          </w:p>
        </w:tc>
        <w:tc>
          <w:tcPr>
            <w:tcW w:type="dxa" w:w="2353"/>
            <w:vAlign w:val="center"/>
            <w:tcMar>
              <w:top w:w="90" w:type="dxa"/>
              <w:start w:w="100" w:type="dxa"/>
              <w:bottom w:w="90" w:type="dxa"/>
              <w:end w:w="100" w:type="dxa"/>
            </w:tcMar>
            <w:shd w:fill="F2F4F5"/>
          </w:tcPr>
          <w:p>
            <w:pPr>
              <w:spacing w:after="30"/>
            </w:pPr>
            <w:r>
              <w:rPr>
                <w:rFonts w:ascii="Arial" w:hAnsi="Arial"/>
                <w:sz w:val="17"/>
              </w:rPr>
              <w:t>Original</w:t>
            </w:r>
          </w:p>
        </w:tc>
        <w:tc>
          <w:tcPr>
            <w:tcW w:type="dxa" w:w="2353"/>
            <w:vAlign w:val="center"/>
            <w:tcMar>
              <w:top w:w="90" w:type="dxa"/>
              <w:start w:w="100" w:type="dxa"/>
              <w:bottom w:w="90" w:type="dxa"/>
              <w:end w:w="100" w:type="dxa"/>
            </w:tcMar>
            <w:shd w:fill="F2F4F5"/>
          </w:tcPr>
          <w:p>
            <w:pPr>
              <w:spacing w:after="30"/>
            </w:pPr>
            <w:r>
              <w:rPr>
                <w:rFonts w:ascii="Arial" w:hAnsi="Arial"/>
                <w:sz w:val="17"/>
              </w:rPr>
              <w:t>26.06.2026</w:t>
            </w:r>
          </w:p>
        </w:tc>
        <w:tc>
          <w:tcPr>
            <w:tcW w:type="dxa" w:w="2353"/>
            <w:vAlign w:val="center"/>
            <w:tcMar>
              <w:top w:w="90" w:type="dxa"/>
              <w:start w:w="100" w:type="dxa"/>
              <w:bottom w:w="90" w:type="dxa"/>
              <w:end w:w="100" w:type="dxa"/>
            </w:tcMar>
            <w:shd w:fill="F2F4F5"/>
          </w:tcPr>
          <w:p>
            <w:pPr>
              <w:spacing w:after="30"/>
            </w:pPr>
            <w:r>
              <w:rPr>
                <w:rFonts w:ascii="Arial" w:hAnsi="Arial"/>
                <w:sz w:val="17"/>
              </w:rPr>
              <w:t>Umschlag und Zugang dokumentieren</w:t>
            </w:r>
          </w:p>
        </w:tc>
      </w:tr>
    </w:tbl>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Svenja Kalkhorst, Rechtsanwältin und Fachanwältin für Erbrecht | Anderkonto DE73 2405 0110 0019 8850 04 | BIC NOLADE21LBG | St.-Nr. 33/219/07162 | Berufshaftpflicht: JurAssekuranz AG, Hannover</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Kalkhorst &amp; Severin Rechtsanwälte</w:t>
          </w:r>
        </w:p>
        <w:p>
          <w:pPr>
            <w:spacing w:after="0"/>
          </w:pPr>
          <w:r>
            <w:rPr>
              <w:color w:val="6B7378"/>
              <w:sz w:val="15"/>
            </w:rPr>
            <w:t>Erbrecht und Agrarvermögen | Am Berge 12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