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Testament und vorläufiger Nachlass</w:t>
      </w:r>
    </w:p>
    <w:p>
      <w:pPr>
        <w:pStyle w:val="Heading2"/>
        <w:widowControl/>
      </w:pPr>
      <w:r>
        <w:rPr>
          <w:rFonts w:ascii="Arial" w:hAnsi="Arial" w:eastAsia="Arial"/>
        </w:rPr>
        <w:t>Testament vom 17.11.2022</w:t>
      </w:r>
    </w:p>
    <w:p>
      <w:pPr>
        <w:widowControl/>
        <w:jc w:val="left"/>
      </w:pPr>
      <w:r>
        <w:rPr>
          <w:rFonts w:ascii="Arial" w:hAnsi="Arial" w:eastAsia="Arial"/>
        </w:rPr>
        <w:t>Eigenhändig geschrieben, Ort: Kirchgellersen.</w:t>
      </w:r>
    </w:p>
    <w:p>
      <w:pPr>
        <w:widowControl/>
        <w:jc w:val="left"/>
      </w:pPr>
      <w:r>
        <w:rPr>
          <w:rFonts w:ascii="Arial" w:hAnsi="Arial" w:eastAsia="Arial"/>
        </w:rPr>
        <w:t>Ich, Helmut Rieken, setze meine Tochter Alva Rieken zu meiner Alleinerbin ein. Mein Sohn Moritz Rieken soll nichts erhalten, weil er bereits zu Lebzeiten unterstützt wurde und den Kontakt abgebrochen hat. Alva hat sich um Haus, Hof und meine Gesundheit gekümmert.</w:t>
      </w:r>
    </w:p>
    <w:p>
      <w:pPr>
        <w:widowControl/>
        <w:jc w:val="left"/>
      </w:pPr>
      <w:r>
        <w:rPr>
          <w:rFonts w:ascii="Arial" w:hAnsi="Arial" w:eastAsia="Arial"/>
        </w:rPr>
        <w:t>Kirchgellersen, 17. November 2022</w:t>
      </w:r>
    </w:p>
    <w:p>
      <w:pPr>
        <w:widowControl/>
        <w:jc w:val="left"/>
      </w:pPr>
      <w:r>
        <w:rPr>
          <w:rFonts w:ascii="Arial" w:hAnsi="Arial" w:eastAsia="Arial"/>
        </w:rPr>
        <w:t>Helmut Rieken</w:t>
      </w:r>
    </w:p>
    <w:p>
      <w:pPr>
        <w:pStyle w:val="Heading2"/>
        <w:widowControl/>
      </w:pPr>
      <w:r>
        <w:rPr>
          <w:rFonts w:ascii="Arial" w:hAnsi="Arial" w:eastAsia="Arial"/>
        </w:rPr>
        <w:t>Vorläufiger Nachlass laut Alva</w:t>
      </w:r>
    </w:p>
    <w:tbl>
      <w:tblPr>
        <w:tblStyle w:val="TableGrid"/>
        <w:tblW w:type="auto" w:w="0"/>
        <w:jc w:val="center"/>
        <w:tblLayout w:type="autofit"/>
        <w:tblLook w:firstColumn="1" w:firstRow="1" w:lastColumn="0" w:lastRow="0" w:noHBand="0" w:noVBand="1" w:val="04A0"/>
      </w:tblPr>
      <w:tblGrid>
        <w:gridCol w:w="4536"/>
        <w:gridCol w:w="4536"/>
      </w:tblGrid>
      <w:tr>
        <w:trPr>
          <w:tblHeader w:val="true"/>
          <w:tblHeader w:val="true"/>
          <w:tblHeader w:val="true"/>
          <w:tblHeader w:val="true"/>
          <w:tblHeader w:val="true"/>
        </w:trPr>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Gegenstand</w:t>
            </w:r>
          </w:p>
        </w:tc>
        <w:tc>
          <w:tcPr>
            <w:tcW w:type="dxa" w:w="4536"/>
            <w:vAlign w:val="center"/>
            <w:tcMar>
              <w:top w:w="90" w:type="dxa"/>
              <w:start w:w="100" w:type="dxa"/>
              <w:bottom w:w="90" w:type="dxa"/>
              <w:end w:w="100" w:type="dxa"/>
            </w:tcMar>
            <w:shd w:fill="17324D"/>
          </w:tcPr>
          <w:p>
            <w:pPr>
              <w:spacing w:after="30"/>
            </w:pPr>
            <w:r>
              <w:rPr>
                <w:rFonts w:ascii="Arial" w:hAnsi="Arial"/>
                <w:b/>
                <w:color w:val="FFFFFF"/>
                <w:sz w:val="17"/>
              </w:rPr>
              <w:t>Wertangabe Alva</w:t>
            </w:r>
          </w:p>
        </w:tc>
      </w:tr>
      <w:tr>
        <w:tc>
          <w:tcPr>
            <w:tcW w:type="dxa" w:w="4536"/>
            <w:vAlign w:val="center"/>
            <w:tcMar>
              <w:top w:w="90" w:type="dxa"/>
              <w:start w:w="100" w:type="dxa"/>
              <w:bottom w:w="90" w:type="dxa"/>
              <w:end w:w="100" w:type="dxa"/>
            </w:tcMar>
          </w:tcPr>
          <w:p>
            <w:pPr>
              <w:spacing w:after="30"/>
            </w:pPr>
            <w:r>
              <w:rPr>
                <w:rFonts w:ascii="Arial" w:hAnsi="Arial"/>
                <w:sz w:val="17"/>
              </w:rPr>
              <w:t>Girokonto NordBank</w:t>
            </w:r>
          </w:p>
        </w:tc>
        <w:tc>
          <w:tcPr>
            <w:tcW w:type="dxa" w:w="4536"/>
            <w:vAlign w:val="center"/>
            <w:tcMar>
              <w:top w:w="90" w:type="dxa"/>
              <w:start w:w="100" w:type="dxa"/>
              <w:bottom w:w="90" w:type="dxa"/>
              <w:end w:w="100" w:type="dxa"/>
            </w:tcMar>
          </w:tcPr>
          <w:p>
            <w:pPr>
              <w:spacing w:after="30"/>
            </w:pPr>
            <w:r>
              <w:rPr>
                <w:rFonts w:ascii="Arial" w:hAnsi="Arial"/>
                <w:sz w:val="17"/>
              </w:rPr>
              <w:t>18.420,00 EUR</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alter VW Caddy</w:t>
            </w:r>
          </w:p>
        </w:tc>
        <w:tc>
          <w:tcPr>
            <w:tcW w:type="dxa" w:w="4536"/>
            <w:vAlign w:val="center"/>
            <w:tcMar>
              <w:top w:w="90" w:type="dxa"/>
              <w:start w:w="100" w:type="dxa"/>
              <w:bottom w:w="90" w:type="dxa"/>
              <w:end w:w="100" w:type="dxa"/>
            </w:tcMar>
            <w:shd w:fill="F2F4F5"/>
          </w:tcPr>
          <w:p>
            <w:pPr>
              <w:spacing w:after="30"/>
            </w:pPr>
            <w:r>
              <w:rPr>
                <w:rFonts w:ascii="Arial" w:hAnsi="Arial"/>
                <w:sz w:val="17"/>
              </w:rPr>
              <w:t>2.800,00 EUR</w:t>
            </w:r>
          </w:p>
        </w:tc>
      </w:tr>
      <w:tr>
        <w:tc>
          <w:tcPr>
            <w:tcW w:type="dxa" w:w="4536"/>
            <w:vAlign w:val="center"/>
            <w:tcMar>
              <w:top w:w="90" w:type="dxa"/>
              <w:start w:w="100" w:type="dxa"/>
              <w:bottom w:w="90" w:type="dxa"/>
              <w:end w:w="100" w:type="dxa"/>
            </w:tcMar>
          </w:tcPr>
          <w:p>
            <w:pPr>
              <w:spacing w:after="30"/>
            </w:pPr>
            <w:r>
              <w:rPr>
                <w:rFonts w:ascii="Arial" w:hAnsi="Arial"/>
                <w:sz w:val="17"/>
              </w:rPr>
              <w:t>Hausrat</w:t>
            </w:r>
          </w:p>
        </w:tc>
        <w:tc>
          <w:tcPr>
            <w:tcW w:type="dxa" w:w="4536"/>
            <w:vAlign w:val="center"/>
            <w:tcMar>
              <w:top w:w="90" w:type="dxa"/>
              <w:start w:w="100" w:type="dxa"/>
              <w:bottom w:w="90" w:type="dxa"/>
              <w:end w:w="100" w:type="dxa"/>
            </w:tcMar>
          </w:tcPr>
          <w:p>
            <w:pPr>
              <w:spacing w:after="30"/>
            </w:pPr>
            <w:r>
              <w:rPr>
                <w:rFonts w:ascii="Arial" w:hAnsi="Arial"/>
                <w:sz w:val="17"/>
              </w:rPr>
              <w:t>3.000,00 EUR</w:t>
            </w:r>
          </w:p>
        </w:tc>
      </w:tr>
      <w:tr>
        <w:tc>
          <w:tcPr>
            <w:tcW w:type="dxa" w:w="4536"/>
            <w:vAlign w:val="center"/>
            <w:tcMar>
              <w:top w:w="90" w:type="dxa"/>
              <w:start w:w="100" w:type="dxa"/>
              <w:bottom w:w="90" w:type="dxa"/>
              <w:end w:w="100" w:type="dxa"/>
            </w:tcMar>
            <w:shd w:fill="F2F4F5"/>
          </w:tcPr>
          <w:p>
            <w:pPr>
              <w:spacing w:after="30"/>
            </w:pPr>
            <w:r>
              <w:rPr>
                <w:rFonts w:ascii="Arial" w:hAnsi="Arial"/>
                <w:sz w:val="17"/>
              </w:rPr>
              <w:t>Beerdigungskosten</w:t>
            </w:r>
          </w:p>
        </w:tc>
        <w:tc>
          <w:tcPr>
            <w:tcW w:type="dxa" w:w="4536"/>
            <w:vAlign w:val="center"/>
            <w:tcMar>
              <w:top w:w="90" w:type="dxa"/>
              <w:start w:w="100" w:type="dxa"/>
              <w:bottom w:w="90" w:type="dxa"/>
              <w:end w:w="100" w:type="dxa"/>
            </w:tcMar>
            <w:shd w:fill="F2F4F5"/>
          </w:tcPr>
          <w:p>
            <w:pPr>
              <w:spacing w:after="30"/>
            </w:pPr>
            <w:r>
              <w:rPr>
                <w:rFonts w:ascii="Arial" w:hAnsi="Arial"/>
                <w:sz w:val="17"/>
              </w:rPr>
              <w:t>-8.900,00 EUR</w:t>
            </w:r>
          </w:p>
        </w:tc>
      </w:tr>
      <w:tr>
        <w:tc>
          <w:tcPr>
            <w:tcW w:type="dxa" w:w="4536"/>
            <w:vAlign w:val="center"/>
            <w:tcMar>
              <w:top w:w="90" w:type="dxa"/>
              <w:start w:w="100" w:type="dxa"/>
              <w:bottom w:w="90" w:type="dxa"/>
              <w:end w:w="100" w:type="dxa"/>
            </w:tcMar>
          </w:tcPr>
          <w:p>
            <w:pPr>
              <w:spacing w:after="30"/>
            </w:pPr>
            <w:r>
              <w:rPr>
                <w:rFonts w:ascii="Arial" w:hAnsi="Arial"/>
                <w:sz w:val="17"/>
              </w:rPr>
              <w:t>Pflege- und Haushaltsausgleich Alva</w:t>
            </w:r>
          </w:p>
        </w:tc>
        <w:tc>
          <w:tcPr>
            <w:tcW w:type="dxa" w:w="4536"/>
            <w:vAlign w:val="center"/>
            <w:tcMar>
              <w:top w:w="90" w:type="dxa"/>
              <w:start w:w="100" w:type="dxa"/>
              <w:bottom w:w="90" w:type="dxa"/>
              <w:end w:w="100" w:type="dxa"/>
            </w:tcMar>
          </w:tcPr>
          <w:p>
            <w:pPr>
              <w:spacing w:after="30"/>
            </w:pPr>
            <w:r>
              <w:rPr>
                <w:rFonts w:ascii="Arial" w:hAnsi="Arial"/>
                <w:sz w:val="17"/>
              </w:rPr>
              <w:t>-42.000,00 EUR</w:t>
            </w:r>
          </w:p>
        </w:tc>
      </w:tr>
    </w:tbl>
    <w:p>
      <w:pPr>
        <w:widowControl/>
        <w:jc w:val="left"/>
      </w:pPr>
      <w:r>
        <w:rPr>
          <w:rFonts w:ascii="Arial" w:hAnsi="Arial" w:eastAsia="Arial"/>
        </w:rPr>
        <w:t>Alva meint, der Nachlass sei "praktisch null". Sie legt keine Kontoauszüge vor und keine Belege für den Pflegeausgleich. Der Mandant hält die Wertangaben für unvollständig, weil der Vater bis 2024 Dividenden und Pachtzahlungen erhielt.</w:t>
      </w:r>
    </w:p>
    <w:p>
      <w:pPr>
        <w:pStyle w:val="Heading2"/>
        <w:widowControl/>
      </w:pPr>
      <w:r>
        <w:rPr>
          <w:rFonts w:ascii="Arial" w:hAnsi="Arial" w:eastAsia="Arial"/>
        </w:rPr>
        <w:t>Auskunftslücken</w:t>
      </w:r>
    </w:p>
    <w:p>
      <w:pPr>
        <w:pStyle w:val="ListBullet"/>
        <w:widowControl/>
      </w:pPr>
      <w:r>
        <w:rPr>
          <w:rFonts w:ascii="Arial" w:hAnsi="Arial" w:eastAsia="Arial"/>
        </w:rPr>
        <w:t>Kein notarielles Nachlassverzeichnis.</w:t>
      </w:r>
    </w:p>
    <w:p>
      <w:pPr>
        <w:pStyle w:val="ListBullet"/>
        <w:widowControl/>
      </w:pPr>
      <w:r>
        <w:rPr>
          <w:rFonts w:ascii="Arial" w:hAnsi="Arial" w:eastAsia="Arial"/>
        </w:rPr>
        <w:t>Keine Grundbuchauszüge.</w:t>
      </w:r>
    </w:p>
    <w:p>
      <w:pPr>
        <w:pStyle w:val="ListBullet"/>
        <w:widowControl/>
      </w:pPr>
      <w:r>
        <w:rPr>
          <w:rFonts w:ascii="Arial" w:hAnsi="Arial" w:eastAsia="Arial"/>
        </w:rPr>
        <w:t>Keine Verträge über Übertragungen 2019 und 2021 vollständig.</w:t>
      </w:r>
    </w:p>
    <w:p>
      <w:pPr>
        <w:pStyle w:val="ListBullet"/>
        <w:widowControl/>
      </w:pPr>
      <w:r>
        <w:rPr>
          <w:rFonts w:ascii="Arial" w:hAnsi="Arial" w:eastAsia="Arial"/>
        </w:rPr>
        <w:t>Keine Bewertung des Wohnrechts.</w:t>
      </w:r>
    </w:p>
    <w:p>
      <w:pPr>
        <w:pStyle w:val="ListBullet"/>
        <w:widowControl/>
      </w:pPr>
      <w:r>
        <w:rPr>
          <w:rFonts w:ascii="Arial" w:hAnsi="Arial" w:eastAsia="Arial"/>
        </w:rPr>
        <w:t>Keine Kontoauszüge der letzten zehn Jahre.</w:t>
      </w:r>
    </w:p>
    <w:p>
      <w:pPr>
        <w:pStyle w:val="ListBullet"/>
        <w:widowControl/>
      </w:pPr>
      <w:r>
        <w:rPr>
          <w:rFonts w:ascii="Arial" w:hAnsi="Arial" w:eastAsia="Arial"/>
        </w:rPr>
        <w:t>Keine Belege zur angeblichen Pflegevergütung.</w:t>
      </w:r>
    </w:p>
    <w:p>
      <w:pPr>
        <w:pStyle w:val="Heading1"/>
        <w:widowControl/>
      </w:pPr>
      <w:r>
        <w:rPr>
          <w:rFonts w:ascii="Arial" w:hAnsi="Arial" w:eastAsia="Arial"/>
        </w:rPr>
        <w:t>4. Belegprüfung des privaten Verzeichnisses</w:t>
      </w:r>
    </w:p>
    <w:p>
      <w:pPr>
        <w:keepLines w:val="0"/>
        <w:widowControl/>
      </w:pPr>
      <w:r>
        <w:rPr>
          <w:rFonts w:ascii="Arial" w:hAnsi="Arial" w:eastAsia="Arial"/>
        </w:rPr>
        <w:t>Alvas Aufstellung ging Moritz am 12.06.2026 in einem handadressierten Umschlag zu. Girokonto und Bestattungskosten sind inzwischen teilweise belegt. Für Hausrat, Fahrzeug und den behaupteten Pflegeausgleich fehlen Bewertungs- oder Zahlungsunterlagen. Die Bundesanleihe und das Depot sind in der Aufstellung nicht genannt.</w:t>
      </w:r>
    </w:p>
    <w:p>
      <w:pPr>
        <w:keepLines w:val="0"/>
        <w:widowControl/>
      </w:pPr>
      <w:r>
        <w:rPr>
          <w:rFonts w:ascii="Arial" w:hAnsi="Arial" w:eastAsia="Arial"/>
        </w:rPr>
        <w:t>Die Kanzlei führt jede Position mit Quelle, Stichtag, behauptetem Rechtsgrund und Gegenposition. Eine negative Position wird nicht allein deshalb übernommen, weil sie in der Aufstellung der Erbin erscheint.</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blHeader w:val="true"/>
          <w:tblHeader w:val="true"/>
        </w:trPr>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Position</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Angabe Alva</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Beleg</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Status</w:t>
            </w:r>
          </w:p>
        </w:tc>
      </w:tr>
      <w:tr>
        <w:tc>
          <w:tcPr>
            <w:tcW w:type="dxa" w:w="2353"/>
            <w:vAlign w:val="center"/>
            <w:tcMar>
              <w:top w:w="90" w:type="dxa"/>
              <w:start w:w="100" w:type="dxa"/>
              <w:bottom w:w="90" w:type="dxa"/>
              <w:end w:w="100" w:type="dxa"/>
            </w:tcMar>
          </w:tcPr>
          <w:p>
            <w:pPr>
              <w:spacing w:after="30"/>
            </w:pPr>
            <w:r>
              <w:rPr>
                <w:rFonts w:ascii="Arial" w:hAnsi="Arial"/>
                <w:sz w:val="17"/>
              </w:rPr>
              <w:t>Girokonto</w:t>
            </w:r>
          </w:p>
        </w:tc>
        <w:tc>
          <w:tcPr>
            <w:tcW w:type="dxa" w:w="2353"/>
            <w:vAlign w:val="center"/>
            <w:tcMar>
              <w:top w:w="90" w:type="dxa"/>
              <w:start w:w="100" w:type="dxa"/>
              <w:bottom w:w="90" w:type="dxa"/>
              <w:end w:w="100" w:type="dxa"/>
            </w:tcMar>
          </w:tcPr>
          <w:p>
            <w:pPr>
              <w:spacing w:after="30"/>
            </w:pPr>
            <w:r>
              <w:rPr>
                <w:rFonts w:ascii="Arial" w:hAnsi="Arial"/>
                <w:sz w:val="17"/>
              </w:rPr>
              <w:t>18420,00 EUR</w:t>
            </w:r>
          </w:p>
        </w:tc>
        <w:tc>
          <w:tcPr>
            <w:tcW w:type="dxa" w:w="2353"/>
            <w:vAlign w:val="center"/>
            <w:tcMar>
              <w:top w:w="90" w:type="dxa"/>
              <w:start w:w="100" w:type="dxa"/>
              <w:bottom w:w="90" w:type="dxa"/>
              <w:end w:w="100" w:type="dxa"/>
            </w:tcMar>
          </w:tcPr>
          <w:p>
            <w:pPr>
              <w:spacing w:after="30"/>
            </w:pPr>
            <w:r>
              <w:rPr>
                <w:rFonts w:ascii="Arial" w:hAnsi="Arial"/>
                <w:sz w:val="17"/>
              </w:rPr>
              <w:t>Bankauskunft</w:t>
            </w:r>
          </w:p>
        </w:tc>
        <w:tc>
          <w:tcPr>
            <w:tcW w:type="dxa" w:w="2353"/>
            <w:vAlign w:val="center"/>
            <w:tcMar>
              <w:top w:w="90" w:type="dxa"/>
              <w:start w:w="100" w:type="dxa"/>
              <w:bottom w:w="90" w:type="dxa"/>
              <w:end w:w="100" w:type="dxa"/>
            </w:tcMar>
          </w:tcPr>
          <w:p>
            <w:pPr>
              <w:spacing w:after="30"/>
            </w:pPr>
            <w:r>
              <w:rPr>
                <w:rFonts w:ascii="Arial" w:hAnsi="Arial"/>
                <w:sz w:val="17"/>
              </w:rPr>
              <w:t>bestätigt</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VW Caddy</w:t>
            </w:r>
          </w:p>
        </w:tc>
        <w:tc>
          <w:tcPr>
            <w:tcW w:type="dxa" w:w="2353"/>
            <w:vAlign w:val="center"/>
            <w:tcMar>
              <w:top w:w="90" w:type="dxa"/>
              <w:start w:w="100" w:type="dxa"/>
              <w:bottom w:w="90" w:type="dxa"/>
              <w:end w:w="100" w:type="dxa"/>
            </w:tcMar>
            <w:shd w:fill="F2F4F5"/>
          </w:tcPr>
          <w:p>
            <w:pPr>
              <w:spacing w:after="30"/>
            </w:pPr>
            <w:r>
              <w:rPr>
                <w:rFonts w:ascii="Arial" w:hAnsi="Arial"/>
                <w:sz w:val="17"/>
              </w:rPr>
              <w:t>2800,00 EUR</w:t>
            </w:r>
          </w:p>
        </w:tc>
        <w:tc>
          <w:tcPr>
            <w:tcW w:type="dxa" w:w="2353"/>
            <w:vAlign w:val="center"/>
            <w:tcMar>
              <w:top w:w="90" w:type="dxa"/>
              <w:start w:w="100" w:type="dxa"/>
              <w:bottom w:w="90" w:type="dxa"/>
              <w:end w:w="100" w:type="dxa"/>
            </w:tcMar>
            <w:shd w:fill="F2F4F5"/>
          </w:tcPr>
          <w:p>
            <w:pPr>
              <w:spacing w:after="30"/>
            </w:pPr>
            <w:r>
              <w:rPr>
                <w:rFonts w:ascii="Arial" w:hAnsi="Arial"/>
                <w:sz w:val="17"/>
              </w:rPr>
              <w:t>Fahrzeugschein</w:t>
            </w:r>
          </w:p>
        </w:tc>
        <w:tc>
          <w:tcPr>
            <w:tcW w:type="dxa" w:w="2353"/>
            <w:vAlign w:val="center"/>
            <w:tcMar>
              <w:top w:w="90" w:type="dxa"/>
              <w:start w:w="100" w:type="dxa"/>
              <w:bottom w:w="90" w:type="dxa"/>
              <w:end w:w="100" w:type="dxa"/>
            </w:tcMar>
            <w:shd w:fill="F2F4F5"/>
          </w:tcPr>
          <w:p>
            <w:pPr>
              <w:spacing w:after="30"/>
            </w:pPr>
            <w:r>
              <w:rPr>
                <w:rFonts w:ascii="Arial" w:hAnsi="Arial"/>
                <w:sz w:val="17"/>
              </w:rPr>
              <w:t>Bewertung offen</w:t>
            </w:r>
          </w:p>
        </w:tc>
      </w:tr>
      <w:tr>
        <w:tc>
          <w:tcPr>
            <w:tcW w:type="dxa" w:w="2353"/>
            <w:vAlign w:val="center"/>
            <w:tcMar>
              <w:top w:w="90" w:type="dxa"/>
              <w:start w:w="100" w:type="dxa"/>
              <w:bottom w:w="90" w:type="dxa"/>
              <w:end w:w="100" w:type="dxa"/>
            </w:tcMar>
          </w:tcPr>
          <w:p>
            <w:pPr>
              <w:spacing w:after="30"/>
            </w:pPr>
            <w:r>
              <w:rPr>
                <w:rFonts w:ascii="Arial" w:hAnsi="Arial"/>
                <w:sz w:val="17"/>
              </w:rPr>
              <w:t>Bestattung</w:t>
            </w:r>
          </w:p>
        </w:tc>
        <w:tc>
          <w:tcPr>
            <w:tcW w:type="dxa" w:w="2353"/>
            <w:vAlign w:val="center"/>
            <w:tcMar>
              <w:top w:w="90" w:type="dxa"/>
              <w:start w:w="100" w:type="dxa"/>
              <w:bottom w:w="90" w:type="dxa"/>
              <w:end w:w="100" w:type="dxa"/>
            </w:tcMar>
          </w:tcPr>
          <w:p>
            <w:pPr>
              <w:spacing w:after="30"/>
            </w:pPr>
            <w:r>
              <w:rPr>
                <w:rFonts w:ascii="Arial" w:hAnsi="Arial"/>
                <w:sz w:val="17"/>
              </w:rPr>
              <w:t>-8900,00 EUR</w:t>
            </w:r>
          </w:p>
        </w:tc>
        <w:tc>
          <w:tcPr>
            <w:tcW w:type="dxa" w:w="2353"/>
            <w:vAlign w:val="center"/>
            <w:tcMar>
              <w:top w:w="90" w:type="dxa"/>
              <w:start w:w="100" w:type="dxa"/>
              <w:bottom w:w="90" w:type="dxa"/>
              <w:end w:w="100" w:type="dxa"/>
            </w:tcMar>
          </w:tcPr>
          <w:p>
            <w:pPr>
              <w:spacing w:after="30"/>
            </w:pPr>
            <w:r>
              <w:rPr>
                <w:rFonts w:ascii="Arial" w:hAnsi="Arial"/>
                <w:sz w:val="17"/>
              </w:rPr>
              <w:t>Anzahlung 6200,00 EUR</w:t>
            </w:r>
          </w:p>
        </w:tc>
        <w:tc>
          <w:tcPr>
            <w:tcW w:type="dxa" w:w="2353"/>
            <w:vAlign w:val="center"/>
            <w:tcMar>
              <w:top w:w="90" w:type="dxa"/>
              <w:start w:w="100" w:type="dxa"/>
              <w:bottom w:w="90" w:type="dxa"/>
              <w:end w:w="100" w:type="dxa"/>
            </w:tcMar>
          </w:tcPr>
          <w:p>
            <w:pPr>
              <w:spacing w:after="30"/>
            </w:pPr>
            <w:r>
              <w:rPr>
                <w:rFonts w:ascii="Arial" w:hAnsi="Arial"/>
                <w:sz w:val="17"/>
              </w:rPr>
              <w:t>Schlussrechnung offen</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Pflegeausgleich</w:t>
            </w:r>
          </w:p>
        </w:tc>
        <w:tc>
          <w:tcPr>
            <w:tcW w:type="dxa" w:w="2353"/>
            <w:vAlign w:val="center"/>
            <w:tcMar>
              <w:top w:w="90" w:type="dxa"/>
              <w:start w:w="100" w:type="dxa"/>
              <w:bottom w:w="90" w:type="dxa"/>
              <w:end w:w="100" w:type="dxa"/>
            </w:tcMar>
            <w:shd w:fill="F2F4F5"/>
          </w:tcPr>
          <w:p>
            <w:pPr>
              <w:spacing w:after="30"/>
            </w:pPr>
            <w:r>
              <w:rPr>
                <w:rFonts w:ascii="Arial" w:hAnsi="Arial"/>
                <w:sz w:val="17"/>
              </w:rPr>
              <w:t>-42000,00 EUR</w:t>
            </w:r>
          </w:p>
        </w:tc>
        <w:tc>
          <w:tcPr>
            <w:tcW w:type="dxa" w:w="2353"/>
            <w:vAlign w:val="center"/>
            <w:tcMar>
              <w:top w:w="90" w:type="dxa"/>
              <w:start w:w="100" w:type="dxa"/>
              <w:bottom w:w="90" w:type="dxa"/>
              <w:end w:w="100" w:type="dxa"/>
            </w:tcMar>
            <w:shd w:fill="F2F4F5"/>
          </w:tcPr>
          <w:p>
            <w:pPr>
              <w:spacing w:after="30"/>
            </w:pPr>
            <w:r>
              <w:rPr>
                <w:rFonts w:ascii="Arial" w:hAnsi="Arial"/>
                <w:sz w:val="17"/>
              </w:rPr>
              <w:t>Kalenderliste angekündigt</w:t>
            </w:r>
          </w:p>
        </w:tc>
        <w:tc>
          <w:tcPr>
            <w:tcW w:type="dxa" w:w="2353"/>
            <w:vAlign w:val="center"/>
            <w:tcMar>
              <w:top w:w="90" w:type="dxa"/>
              <w:start w:w="100" w:type="dxa"/>
              <w:bottom w:w="90" w:type="dxa"/>
              <w:end w:w="100" w:type="dxa"/>
            </w:tcMar>
            <w:shd w:fill="F2F4F5"/>
          </w:tcPr>
          <w:p>
            <w:pPr>
              <w:spacing w:after="30"/>
            </w:pPr>
            <w:r>
              <w:rPr>
                <w:rFonts w:ascii="Arial" w:hAnsi="Arial"/>
                <w:sz w:val="17"/>
              </w:rPr>
              <w:t>Grund und Höhe bestritten</w:t>
            </w:r>
          </w:p>
        </w:tc>
      </w:tr>
    </w:tbl>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Svenja Kalkhorst, Rechtsanwältin und Fachanwältin für Erbrecht | Anderkonto DE73 2405 0110 0019 8850 04 | BIC NOLADE21LBG | St.-Nr. 33/219/07162 | Berufshaftpflicht: JurAssekuranz AG, Hannover</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Kalkhorst &amp; Severin Rechtsanwälte</w:t>
          </w:r>
        </w:p>
        <w:p>
          <w:pPr>
            <w:spacing w:after="0"/>
          </w:pPr>
          <w:r>
            <w:rPr>
              <w:color w:val="6B7378"/>
              <w:sz w:val="15"/>
            </w:rPr>
            <w:t>Erbrecht und Agrarvermögen | Am Berge 12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