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rFonts w:ascii="Arial" w:hAnsi="Arial" w:eastAsia="Arial"/>
        </w:rPr>
        <w:t>Immobilienwerte und Depotbewegungen</w:t>
      </w:r>
    </w:p>
    <w:p>
      <w:pPr>
        <w:pStyle w:val="Heading2"/>
        <w:widowControl/>
      </w:pPr>
      <w:r>
        <w:rPr>
          <w:rFonts w:ascii="Arial" w:hAnsi="Arial" w:eastAsia="Arial"/>
        </w:rPr>
        <w:t>Maklereinschätzung Resthof 2026</w:t>
      </w:r>
    </w:p>
    <w:p>
      <w:pPr>
        <w:widowControl/>
        <w:jc w:val="left"/>
      </w:pPr>
      <w:r>
        <w:rPr>
          <w:rFonts w:ascii="Arial" w:hAnsi="Arial" w:eastAsia="Arial"/>
        </w:rPr>
        <w:t>Maklerbüro Bockelmann, Lüneburg, Kurzeinschätzung vom 20.06.2026:</w:t>
      </w:r>
    </w:p>
    <w:p>
      <w:pPr>
        <w:widowControl/>
        <w:jc w:val="left"/>
      </w:pPr>
      <w:r>
        <w:rPr>
          <w:rFonts w:ascii="Arial" w:hAnsi="Arial" w:eastAsia="Arial"/>
        </w:rPr>
        <w:t>Der Resthof Kirchgellersen wäre bei freier Veräußerung im Juni 2026 voraussichtlich zwischen 740.000,00 EUR und 820.000,00 EUR erzielbar. Werttreiber sind Baulandnähe, Scheune und große Gartenfläche. Wertmindernd wirken Sanierungsstau Dach, Elektrik und Heizung.</w:t>
      </w:r>
    </w:p>
    <w:p>
      <w:pPr>
        <w:pStyle w:val="Heading2"/>
        <w:widowControl/>
      </w:pPr>
      <w:r>
        <w:rPr>
          <w:rFonts w:ascii="Arial" w:hAnsi="Arial" w:eastAsia="Arial"/>
        </w:rPr>
        <w:t>Baugrundstück Bardowick</w:t>
      </w:r>
    </w:p>
    <w:p>
      <w:pPr>
        <w:widowControl/>
        <w:jc w:val="left"/>
      </w:pPr>
      <w:r>
        <w:rPr>
          <w:rFonts w:ascii="Arial" w:hAnsi="Arial" w:eastAsia="Arial"/>
        </w:rPr>
        <w:t>Übertragung laut Grundbuch am 14.04.2021 von Helmut Rieken auf Alva Rieken. Kaufpreis nicht ersichtlich. Alva verkaufte 2023 eine Teilfläche für 228.000,00 EUR. Moritz vermutet, dass der Vater kein Geld erhielt.</w:t>
      </w:r>
    </w:p>
    <w:p>
      <w:pPr>
        <w:pStyle w:val="Heading2"/>
        <w:widowControl/>
      </w:pPr>
      <w:r>
        <w:rPr>
          <w:rFonts w:ascii="Arial" w:hAnsi="Arial" w:eastAsia="Arial"/>
        </w:rPr>
        <w:t>Depot NordBank</w:t>
      </w:r>
    </w:p>
    <w:p>
      <w:pPr>
        <w:widowControl/>
        <w:jc w:val="left"/>
      </w:pPr>
      <w:r>
        <w:rPr>
          <w:rFonts w:ascii="Arial" w:hAnsi="Arial" w:eastAsia="Arial"/>
        </w:rPr>
        <w:t>Alte Steuerbescheinigung 2023 zeigt Kapitalerträge aus einem Depot auf Helmut Rieken in Höhe von 9.840,00 EUR. Im Nachlassverzeichnis fehlt ein Depot. Kontoauszüge Januar bis April 2026 zeigen keine Depotabrechnungen.</w:t>
      </w:r>
    </w:p>
    <w:p>
      <w:pPr>
        <w:pStyle w:val="Heading2"/>
        <w:widowControl/>
      </w:pPr>
      <w:r>
        <w:rPr>
          <w:rFonts w:ascii="Arial" w:hAnsi="Arial" w:eastAsia="Arial"/>
        </w:rPr>
        <w:t>Streitige Bewertung</w:t>
      </w:r>
    </w:p>
    <w:p>
      <w:pPr>
        <w:widowControl/>
        <w:jc w:val="left"/>
      </w:pPr>
      <w:r>
        <w:rPr>
          <w:rFonts w:ascii="Arial" w:hAnsi="Arial" w:eastAsia="Arial"/>
        </w:rPr>
        <w:t>Die Berechnung braucht mehrere Wertstufen:</w:t>
      </w:r>
    </w:p>
    <w:p>
      <w:pPr>
        <w:pStyle w:val="ListNumber"/>
        <w:widowControl/>
      </w:pPr>
      <w:r>
        <w:rPr>
          <w:rFonts w:ascii="Arial" w:hAnsi="Arial" w:eastAsia="Arial"/>
        </w:rPr>
        <w:t>Aktiver Nachlass am Todestag.</w:t>
      </w:r>
    </w:p>
    <w:p>
      <w:pPr>
        <w:pStyle w:val="ListNumber"/>
        <w:widowControl/>
      </w:pPr>
      <w:r>
        <w:rPr>
          <w:rFonts w:ascii="Arial" w:hAnsi="Arial" w:eastAsia="Arial"/>
        </w:rPr>
        <w:t>Wert der Schenkungen im Zeitpunkt der Zuwendung.</w:t>
      </w:r>
    </w:p>
    <w:p>
      <w:pPr>
        <w:pStyle w:val="ListNumber"/>
        <w:widowControl/>
      </w:pPr>
      <w:r>
        <w:rPr>
          <w:rFonts w:ascii="Arial" w:hAnsi="Arial" w:eastAsia="Arial"/>
        </w:rPr>
        <w:t>Wert im Zeitpunkt des Erbfalls, falls niedriger.</w:t>
      </w:r>
    </w:p>
    <w:p>
      <w:pPr>
        <w:pStyle w:val="ListNumber"/>
        <w:widowControl/>
      </w:pPr>
      <w:r>
        <w:rPr>
          <w:rFonts w:ascii="Arial" w:hAnsi="Arial" w:eastAsia="Arial"/>
        </w:rPr>
        <w:t>Abzug echter Gegenleistungen.</w:t>
      </w:r>
    </w:p>
    <w:p>
      <w:pPr>
        <w:pStyle w:val="ListNumber"/>
        <w:widowControl/>
      </w:pPr>
      <w:r>
        <w:rPr>
          <w:rFonts w:ascii="Arial" w:hAnsi="Arial" w:eastAsia="Arial"/>
        </w:rPr>
        <w:t>Behandlung vorbehaltener Rechte und Nutzungen.</w:t>
      </w:r>
    </w:p>
    <w:p>
      <w:pPr>
        <w:pStyle w:val="Heading1"/>
        <w:widowControl/>
      </w:pPr>
      <w:r>
        <w:rPr>
          <w:rFonts w:ascii="Arial" w:hAnsi="Arial" w:eastAsia="Arial"/>
        </w:rPr>
        <w:t>6. Stichtage und Quellenlage</w:t>
      </w:r>
    </w:p>
    <w:p>
      <w:pPr>
        <w:keepLines w:val="0"/>
        <w:widowControl/>
      </w:pPr>
      <w:r>
        <w:rPr>
          <w:rFonts w:ascii="Arial" w:hAnsi="Arial" w:eastAsia="Arial"/>
        </w:rPr>
        <w:t>Für den Resthof werden die Verhältnisse am 22.08.2019 und am 18.05.2026 getrennt dokumentiert. Die Maklerspanne aus Juni 2026 beruht auf einer Außenbesichtigung und darf nicht ungeprüft auf 2019 zurückgerechnet werden. Bodenrichtwerte, Bauzustand und mögliche Teilbarkeit müssen je Stichtag erhoben werden.</w:t>
      </w:r>
    </w:p>
    <w:p>
      <w:pPr>
        <w:keepLines w:val="0"/>
        <w:widowControl/>
      </w:pPr>
      <w:r>
        <w:rPr>
          <w:rFonts w:ascii="Arial" w:hAnsi="Arial" w:eastAsia="Arial"/>
        </w:rPr>
        <w:t>Beim Depot sind Wertpapierbestand, Verkaufserlöse, Übertragungen und Nutzungen getrennt zu buchen. Die Bundesanleihe bestand nach Bankauskunft am Todestag; der NordAgrar-Übertrag von 2024 weist keinen Kaufpreis aus.</w:t>
      </w:r>
    </w:p>
    <w:tbl>
      <w:tblPr>
        <w:tblStyle w:val="TableGrid"/>
        <w:tblW w:type="auto" w:w="0"/>
        <w:jc w:val="center"/>
        <w:tblLayout w:type="autofit"/>
        <w:tblLook w:firstColumn="1" w:firstRow="1" w:lastColumn="0" w:lastRow="0" w:noHBand="0" w:noVBand="1" w:val="04A0"/>
      </w:tblPr>
      <w:tblGrid>
        <w:gridCol w:w="2353"/>
        <w:gridCol w:w="2353"/>
        <w:gridCol w:w="2353"/>
        <w:gridCol w:w="2353"/>
      </w:tblGrid>
      <w:tr>
        <w:trPr>
          <w:tblHeader w:val="true"/>
          <w:tblHeader w:val="true"/>
          <w:tblHeader w:val="true"/>
        </w:trPr>
        <w:tc>
          <w:tcPr>
            <w:tcW w:type="dxa" w:w="2353"/>
            <w:vAlign w:val="center"/>
            <w:tcMar>
              <w:top w:w="90" w:type="dxa"/>
              <w:start w:w="100" w:type="dxa"/>
              <w:bottom w:w="90" w:type="dxa"/>
              <w:end w:w="100" w:type="dxa"/>
            </w:tcMar>
            <w:shd w:fill="17324D"/>
          </w:tcPr>
          <w:p>
            <w:pPr>
              <w:spacing w:after="30"/>
            </w:pPr>
            <w:r>
              <w:rPr>
                <w:rFonts w:ascii="Arial" w:hAnsi="Arial"/>
                <w:b/>
                <w:color w:val="FFFFFF"/>
                <w:sz w:val="17"/>
              </w:rPr>
              <w:t>Beleg</w:t>
            </w:r>
          </w:p>
        </w:tc>
        <w:tc>
          <w:tcPr>
            <w:tcW w:type="dxa" w:w="2353"/>
            <w:vAlign w:val="center"/>
            <w:tcMar>
              <w:top w:w="90" w:type="dxa"/>
              <w:start w:w="100" w:type="dxa"/>
              <w:bottom w:w="90" w:type="dxa"/>
              <w:end w:w="100" w:type="dxa"/>
            </w:tcMar>
            <w:shd w:fill="17324D"/>
          </w:tcPr>
          <w:p>
            <w:pPr>
              <w:spacing w:after="30"/>
            </w:pPr>
            <w:r>
              <w:rPr>
                <w:rFonts w:ascii="Arial" w:hAnsi="Arial"/>
                <w:b/>
                <w:color w:val="FFFFFF"/>
                <w:sz w:val="17"/>
              </w:rPr>
              <w:t>Stichtag</w:t>
            </w:r>
          </w:p>
        </w:tc>
        <w:tc>
          <w:tcPr>
            <w:tcW w:type="dxa" w:w="2353"/>
            <w:vAlign w:val="center"/>
            <w:tcMar>
              <w:top w:w="90" w:type="dxa"/>
              <w:start w:w="100" w:type="dxa"/>
              <w:bottom w:w="90" w:type="dxa"/>
              <w:end w:w="100" w:type="dxa"/>
            </w:tcMar>
            <w:shd w:fill="17324D"/>
          </w:tcPr>
          <w:p>
            <w:pPr>
              <w:spacing w:after="30"/>
            </w:pPr>
            <w:r>
              <w:rPr>
                <w:rFonts w:ascii="Arial" w:hAnsi="Arial"/>
                <w:b/>
                <w:color w:val="FFFFFF"/>
                <w:sz w:val="17"/>
              </w:rPr>
              <w:t>Aussage</w:t>
            </w:r>
          </w:p>
        </w:tc>
        <w:tc>
          <w:tcPr>
            <w:tcW w:type="dxa" w:w="2353"/>
            <w:vAlign w:val="center"/>
            <w:tcMar>
              <w:top w:w="90" w:type="dxa"/>
              <w:start w:w="100" w:type="dxa"/>
              <w:bottom w:w="90" w:type="dxa"/>
              <w:end w:w="100" w:type="dxa"/>
            </w:tcMar>
            <w:shd w:fill="17324D"/>
          </w:tcPr>
          <w:p>
            <w:pPr>
              <w:spacing w:after="30"/>
            </w:pPr>
            <w:r>
              <w:rPr>
                <w:rFonts w:ascii="Arial" w:hAnsi="Arial"/>
                <w:b/>
                <w:color w:val="FFFFFF"/>
                <w:sz w:val="17"/>
              </w:rPr>
              <w:t>Lücke</w:t>
            </w:r>
          </w:p>
        </w:tc>
      </w:tr>
      <w:tr>
        <w:tc>
          <w:tcPr>
            <w:tcW w:type="dxa" w:w="2353"/>
            <w:vAlign w:val="center"/>
            <w:tcMar>
              <w:top w:w="90" w:type="dxa"/>
              <w:start w:w="100" w:type="dxa"/>
              <w:bottom w:w="90" w:type="dxa"/>
              <w:end w:w="100" w:type="dxa"/>
            </w:tcMar>
          </w:tcPr>
          <w:p>
            <w:pPr>
              <w:spacing w:after="30"/>
            </w:pPr>
            <w:r>
              <w:rPr>
                <w:rFonts w:ascii="Arial" w:hAnsi="Arial"/>
                <w:sz w:val="17"/>
              </w:rPr>
              <w:t>Notarvertrag</w:t>
            </w:r>
          </w:p>
        </w:tc>
        <w:tc>
          <w:tcPr>
            <w:tcW w:type="dxa" w:w="2353"/>
            <w:vAlign w:val="center"/>
            <w:tcMar>
              <w:top w:w="90" w:type="dxa"/>
              <w:start w:w="100" w:type="dxa"/>
              <w:bottom w:w="90" w:type="dxa"/>
              <w:end w:w="100" w:type="dxa"/>
            </w:tcMar>
          </w:tcPr>
          <w:p>
            <w:pPr>
              <w:spacing w:after="30"/>
            </w:pPr>
            <w:r>
              <w:rPr>
                <w:rFonts w:ascii="Arial" w:hAnsi="Arial"/>
                <w:sz w:val="17"/>
              </w:rPr>
              <w:t>22.08.2019</w:t>
            </w:r>
          </w:p>
        </w:tc>
        <w:tc>
          <w:tcPr>
            <w:tcW w:type="dxa" w:w="2353"/>
            <w:vAlign w:val="center"/>
            <w:tcMar>
              <w:top w:w="90" w:type="dxa"/>
              <w:start w:w="100" w:type="dxa"/>
              <w:bottom w:w="90" w:type="dxa"/>
              <w:end w:w="100" w:type="dxa"/>
            </w:tcMar>
          </w:tcPr>
          <w:p>
            <w:pPr>
              <w:spacing w:after="30"/>
            </w:pPr>
            <w:r>
              <w:rPr>
                <w:rFonts w:ascii="Arial" w:hAnsi="Arial"/>
                <w:sz w:val="17"/>
              </w:rPr>
              <w:t>Geschäftswert 410000,00 EUR</w:t>
            </w:r>
          </w:p>
        </w:tc>
        <w:tc>
          <w:tcPr>
            <w:tcW w:type="dxa" w:w="2353"/>
            <w:vAlign w:val="center"/>
            <w:tcMar>
              <w:top w:w="90" w:type="dxa"/>
              <w:start w:w="100" w:type="dxa"/>
              <w:bottom w:w="90" w:type="dxa"/>
              <w:end w:w="100" w:type="dxa"/>
            </w:tcMar>
          </w:tcPr>
          <w:p>
            <w:pPr>
              <w:spacing w:after="30"/>
            </w:pPr>
            <w:r>
              <w:rPr>
                <w:rFonts w:ascii="Arial" w:hAnsi="Arial"/>
                <w:sz w:val="17"/>
              </w:rPr>
              <w:t>kein Verkehrswert</w:t>
            </w:r>
          </w:p>
        </w:tc>
      </w:tr>
      <w:tr>
        <w:tc>
          <w:tcPr>
            <w:tcW w:type="dxa" w:w="2353"/>
            <w:vAlign w:val="center"/>
            <w:tcMar>
              <w:top w:w="90" w:type="dxa"/>
              <w:start w:w="100" w:type="dxa"/>
              <w:bottom w:w="90" w:type="dxa"/>
              <w:end w:w="100" w:type="dxa"/>
            </w:tcMar>
            <w:shd w:fill="F2F4F5"/>
          </w:tcPr>
          <w:p>
            <w:pPr>
              <w:spacing w:after="30"/>
            </w:pPr>
            <w:r>
              <w:rPr>
                <w:rFonts w:ascii="Arial" w:hAnsi="Arial"/>
                <w:sz w:val="17"/>
              </w:rPr>
              <w:t>Maklerbrief</w:t>
            </w:r>
          </w:p>
        </w:tc>
        <w:tc>
          <w:tcPr>
            <w:tcW w:type="dxa" w:w="2353"/>
            <w:vAlign w:val="center"/>
            <w:tcMar>
              <w:top w:w="90" w:type="dxa"/>
              <w:start w:w="100" w:type="dxa"/>
              <w:bottom w:w="90" w:type="dxa"/>
              <w:end w:w="100" w:type="dxa"/>
            </w:tcMar>
            <w:shd w:fill="F2F4F5"/>
          </w:tcPr>
          <w:p>
            <w:pPr>
              <w:spacing w:after="30"/>
            </w:pPr>
            <w:r>
              <w:rPr>
                <w:rFonts w:ascii="Arial" w:hAnsi="Arial"/>
                <w:sz w:val="17"/>
              </w:rPr>
              <w:t>20.06.2026</w:t>
            </w:r>
          </w:p>
        </w:tc>
        <w:tc>
          <w:tcPr>
            <w:tcW w:type="dxa" w:w="2353"/>
            <w:vAlign w:val="center"/>
            <w:tcMar>
              <w:top w:w="90" w:type="dxa"/>
              <w:start w:w="100" w:type="dxa"/>
              <w:bottom w:w="90" w:type="dxa"/>
              <w:end w:w="100" w:type="dxa"/>
            </w:tcMar>
            <w:shd w:fill="F2F4F5"/>
          </w:tcPr>
          <w:p>
            <w:pPr>
              <w:spacing w:after="30"/>
            </w:pPr>
            <w:r>
              <w:rPr>
                <w:rFonts w:ascii="Arial" w:hAnsi="Arial"/>
                <w:sz w:val="17"/>
              </w:rPr>
              <w:t>740000,00 bis 820000,00 EUR</w:t>
            </w:r>
          </w:p>
        </w:tc>
        <w:tc>
          <w:tcPr>
            <w:tcW w:type="dxa" w:w="2353"/>
            <w:vAlign w:val="center"/>
            <w:tcMar>
              <w:top w:w="90" w:type="dxa"/>
              <w:start w:w="100" w:type="dxa"/>
              <w:bottom w:w="90" w:type="dxa"/>
              <w:end w:w="100" w:type="dxa"/>
            </w:tcMar>
            <w:shd w:fill="F2F4F5"/>
          </w:tcPr>
          <w:p>
            <w:pPr>
              <w:spacing w:after="30"/>
            </w:pPr>
            <w:r>
              <w:rPr>
                <w:rFonts w:ascii="Arial" w:hAnsi="Arial"/>
                <w:sz w:val="17"/>
              </w:rPr>
              <w:t>keine Innenbesichtigung</w:t>
            </w:r>
          </w:p>
        </w:tc>
      </w:tr>
      <w:tr>
        <w:tc>
          <w:tcPr>
            <w:tcW w:type="dxa" w:w="2353"/>
            <w:vAlign w:val="center"/>
            <w:tcMar>
              <w:top w:w="90" w:type="dxa"/>
              <w:start w:w="100" w:type="dxa"/>
              <w:bottom w:w="90" w:type="dxa"/>
              <w:end w:w="100" w:type="dxa"/>
            </w:tcMar>
          </w:tcPr>
          <w:p>
            <w:pPr>
              <w:spacing w:after="30"/>
            </w:pPr>
            <w:r>
              <w:rPr>
                <w:rFonts w:ascii="Arial" w:hAnsi="Arial"/>
                <w:sz w:val="17"/>
              </w:rPr>
              <w:t>Bankauskunft</w:t>
            </w:r>
          </w:p>
        </w:tc>
        <w:tc>
          <w:tcPr>
            <w:tcW w:type="dxa" w:w="2353"/>
            <w:vAlign w:val="center"/>
            <w:tcMar>
              <w:top w:w="90" w:type="dxa"/>
              <w:start w:w="100" w:type="dxa"/>
              <w:bottom w:w="90" w:type="dxa"/>
              <w:end w:w="100" w:type="dxa"/>
            </w:tcMar>
          </w:tcPr>
          <w:p>
            <w:pPr>
              <w:spacing w:after="30"/>
            </w:pPr>
            <w:r>
              <w:rPr>
                <w:rFonts w:ascii="Arial" w:hAnsi="Arial"/>
                <w:sz w:val="17"/>
              </w:rPr>
              <w:t>18.05.2026</w:t>
            </w:r>
          </w:p>
        </w:tc>
        <w:tc>
          <w:tcPr>
            <w:tcW w:type="dxa" w:w="2353"/>
            <w:vAlign w:val="center"/>
            <w:tcMar>
              <w:top w:w="90" w:type="dxa"/>
              <w:start w:w="100" w:type="dxa"/>
              <w:bottom w:w="90" w:type="dxa"/>
              <w:end w:w="100" w:type="dxa"/>
            </w:tcMar>
          </w:tcPr>
          <w:p>
            <w:pPr>
              <w:spacing w:after="30"/>
            </w:pPr>
            <w:r>
              <w:rPr>
                <w:rFonts w:ascii="Arial" w:hAnsi="Arial"/>
                <w:sz w:val="17"/>
              </w:rPr>
              <w:t>Anleihe und Bewegungen</w:t>
            </w:r>
          </w:p>
        </w:tc>
        <w:tc>
          <w:tcPr>
            <w:tcW w:type="dxa" w:w="2353"/>
            <w:vAlign w:val="center"/>
            <w:tcMar>
              <w:top w:w="90" w:type="dxa"/>
              <w:start w:w="100" w:type="dxa"/>
              <w:bottom w:w="90" w:type="dxa"/>
              <w:end w:w="100" w:type="dxa"/>
            </w:tcMar>
          </w:tcPr>
          <w:p>
            <w:pPr>
              <w:spacing w:after="30"/>
            </w:pPr>
            <w:r>
              <w:rPr>
                <w:rFonts w:ascii="Arial" w:hAnsi="Arial"/>
                <w:sz w:val="17"/>
              </w:rPr>
              <w:t>vollständige Zehnjahresauszüge fehlen</w:t>
            </w:r>
          </w:p>
        </w:tc>
      </w:tr>
      <w:tr>
        <w:tc>
          <w:tcPr>
            <w:tcW w:type="dxa" w:w="2353"/>
            <w:vAlign w:val="center"/>
            <w:tcMar>
              <w:top w:w="90" w:type="dxa"/>
              <w:start w:w="100" w:type="dxa"/>
              <w:bottom w:w="90" w:type="dxa"/>
              <w:end w:w="100" w:type="dxa"/>
            </w:tcMar>
            <w:shd w:fill="F2F4F5"/>
          </w:tcPr>
          <w:p>
            <w:pPr>
              <w:spacing w:after="30"/>
            </w:pPr>
            <w:r>
              <w:rPr>
                <w:rFonts w:ascii="Arial" w:hAnsi="Arial"/>
                <w:sz w:val="17"/>
              </w:rPr>
              <w:t>Bodenrichtwert</w:t>
            </w:r>
          </w:p>
        </w:tc>
        <w:tc>
          <w:tcPr>
            <w:tcW w:type="dxa" w:w="2353"/>
            <w:vAlign w:val="center"/>
            <w:tcMar>
              <w:top w:w="90" w:type="dxa"/>
              <w:start w:w="100" w:type="dxa"/>
              <w:bottom w:w="90" w:type="dxa"/>
              <w:end w:w="100" w:type="dxa"/>
            </w:tcMar>
            <w:shd w:fill="F2F4F5"/>
          </w:tcPr>
          <w:p>
            <w:pPr>
              <w:spacing w:after="30"/>
            </w:pPr>
            <w:r>
              <w:rPr>
                <w:rFonts w:ascii="Arial" w:hAnsi="Arial"/>
                <w:sz w:val="17"/>
              </w:rPr>
              <w:t>01.01.2026</w:t>
            </w:r>
          </w:p>
        </w:tc>
        <w:tc>
          <w:tcPr>
            <w:tcW w:type="dxa" w:w="2353"/>
            <w:vAlign w:val="center"/>
            <w:tcMar>
              <w:top w:w="90" w:type="dxa"/>
              <w:start w:w="100" w:type="dxa"/>
              <w:bottom w:w="90" w:type="dxa"/>
              <w:end w:w="100" w:type="dxa"/>
            </w:tcMar>
            <w:shd w:fill="F2F4F5"/>
          </w:tcPr>
          <w:p>
            <w:pPr>
              <w:spacing w:after="30"/>
            </w:pPr>
            <w:r>
              <w:rPr>
                <w:rFonts w:ascii="Arial" w:hAnsi="Arial"/>
                <w:sz w:val="17"/>
              </w:rPr>
              <w:t>Ortsrandlage</w:t>
            </w:r>
          </w:p>
        </w:tc>
        <w:tc>
          <w:tcPr>
            <w:tcW w:type="dxa" w:w="2353"/>
            <w:vAlign w:val="center"/>
            <w:tcMar>
              <w:top w:w="90" w:type="dxa"/>
              <w:start w:w="100" w:type="dxa"/>
              <w:bottom w:w="90" w:type="dxa"/>
              <w:end w:w="100" w:type="dxa"/>
            </w:tcMar>
            <w:shd w:fill="F2F4F5"/>
          </w:tcPr>
          <w:p>
            <w:pPr>
              <w:spacing w:after="30"/>
            </w:pPr>
            <w:r>
              <w:rPr>
                <w:rFonts w:ascii="Arial" w:hAnsi="Arial"/>
                <w:sz w:val="17"/>
              </w:rPr>
              <w:t>2019er Wert nachfordern</w:t>
            </w:r>
          </w:p>
        </w:tc>
      </w:tr>
    </w:tbl>
    <w:sectPr w:rsidR="00FC693F" w:rsidRPr="0006063C" w:rsidSect="00034616">
      <w:headerReference w:type="default" r:id="rId9"/>
      <w:footerReference w:type="default" r:id="rId10"/>
      <w:pgSz w:w="11906" w:h="16838"/>
      <w:pgMar w:top="1162" w:right="1219" w:bottom="1162" w:left="1276"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jc w:val="center"/>
    </w:pPr>
    <w:r>
      <w:rPr>
        <w:rFonts w:ascii="Arial" w:hAnsi="Arial"/>
        <w:color w:val="6B7378"/>
        <w:sz w:val="12"/>
      </w:rPr>
      <w:t>Dr. Svenja Kalkhorst, Rechtsanwältin und Fachanwältin für Erbrecht | Anderkonto DE73 2405 0110 0019 8850 04 | BIC NOLADE21LBG | St.-Nr. 33/219/07162 | Berufshaftpflicht: JurAssekuranz AG, Hannover</w:t>
    </w:r>
  </w:p>
  <w:p>
    <w:pPr>
      <w:spacing w:after="0"/>
      <w:jc w:val="center"/>
    </w:pPr>
    <w:r>
      <w:rPr>
        <w:color w:val="6B7378"/>
        <w:sz w:val="14"/>
      </w:rPr>
      <w:t xml:space="preserve">Seite </w:t>
    </w:r>
    <w:r>
      <w:rPr>
        <w:color w:val="6B7378"/>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Bdr>
        <w:bottom w:val="single" w:sz="10" w:space="4" w:color="2F6684"/>
      </w:pBdr>
    </w:pPr>
  </w:p>
  <w:tbl>
    <w:tblPr>
      <w:tblW w:type="auto" w:w="0"/>
      <w:jc w:val="center"/>
      <w:tblLook w:firstColumn="1" w:firstRow="1" w:lastColumn="0" w:lastRow="0" w:noHBand="0" w:noVBand="1" w:val="04A0"/>
    </w:tblPr>
    <w:tblGrid>
      <w:gridCol w:w="6066"/>
      <w:gridCol w:w="3345"/>
    </w:tblGrid>
    <w:tr>
      <w:tc>
        <w:tcPr>
          <w:tcW w:type="dxa" w:w="4706"/>
        </w:tcPr>
        <w:p>
          <w:pPr>
            <w:spacing w:after="20"/>
          </w:pPr>
          <w:r>
            <w:rPr>
              <w:rFonts w:ascii="Arial" w:hAnsi="Arial"/>
              <w:b/>
              <w:color w:val="17324D"/>
              <w:sz w:val="21"/>
            </w:rPr>
            <w:t>Kalkhorst &amp; Severin Rechtsanwälte</w:t>
          </w:r>
        </w:p>
        <w:p>
          <w:pPr>
            <w:spacing w:after="0"/>
          </w:pPr>
          <w:r>
            <w:rPr>
              <w:color w:val="6B7378"/>
              <w:sz w:val="15"/>
            </w:rPr>
            <w:t>Erbrecht und Agrarvermögen | Am Berge 12 | 21335 Lüneburg</w:t>
          </w:r>
        </w:p>
      </w:tc>
      <w:tc>
        <w:tcPr>
          <w:tcW w:type="dxa" w:w="4706"/>
        </w:tcPr>
        <w:p>
          <w:pPr>
            <w:spacing w:after="20"/>
            <w:jc w:val="right"/>
          </w:pPr>
          <w:r>
            <w:rPr>
              <w:b/>
              <w:color w:val="17324D"/>
              <w:sz w:val="18"/>
            </w:rPr>
            <w:t>Nachlass Rieken</w:t>
          </w:r>
        </w:p>
        <w:p>
          <w:pPr>
            <w:spacing w:after="0"/>
            <w:jc w:val="right"/>
          </w:pPr>
          <w:r>
            <w:rPr>
              <w:color w:val="6B7378"/>
              <w:sz w:val="15"/>
            </w:rPr>
            <w:t>Aktenzeichen 224/26 K05</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color w:val="17324D"/>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Arial"/>
      <w:b/>
      <w:bCs/>
      <w:color w:val="2F6684"/>
      <w:sz w:val="23"/>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rial" w:hAnsi="Arial" w:eastAsia="Arial"/>
      <w:b/>
      <w:bCs/>
      <w:color w:val="17324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eastAsia="Arial"/>
      <w:b/>
      <w:color w:val="17324D"/>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Kalkhorst &amp; Severin Rechtsanwälte</dc:creator>
  <cp:keywords/>
  <dc:description>generated by python-docx</dc:description>
  <cp:lastModifiedBy>Kalkhorst &amp; Severin Rechtsanwälte</cp:lastModifiedBy>
  <cp:revision>1</cp:revision>
  <dcterms:created xsi:type="dcterms:W3CDTF">2026-07-15T12:00:00Z</dcterms:created>
  <dcterms:modified xsi:type="dcterms:W3CDTF">2026-07-15T12:00:00Z</dcterms:modified>
  <cp:category/>
</cp:coreProperties>
</file>