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Entwurf Stufenklage (Arbeitsfassung der Kanzlei)</w:t>
      </w:r>
    </w:p>
    <w:p>
      <w:pPr>
        <w:widowControl/>
        <w:jc w:val="left"/>
      </w:pPr>
      <w:r>
        <w:rPr>
          <w:rFonts w:ascii="Arial" w:hAnsi="Arial" w:eastAsia="Arial"/>
          <w:b/>
        </w:rPr>
        <w:t>Kanzlei Kalkhorst &amp; Severin — Rechtsanwältinnen und Rechtsanwälte</w:t>
      </w:r>
    </w:p>
    <w:p>
      <w:pPr>
        <w:widowControl/>
        <w:jc w:val="left"/>
      </w:pPr>
      <w:r>
        <w:rPr>
          <w:rFonts w:ascii="Arial" w:hAnsi="Arial" w:eastAsia="Arial"/>
        </w:rPr>
        <w:t>Am Berge 12 · 21335 Lüneburg · Telefon 04131 224480</w:t>
      </w:r>
    </w:p>
    <w:p>
      <w:pPr>
        <w:widowControl/>
        <w:jc w:val="left"/>
      </w:pPr>
      <w:r>
        <w:rPr>
          <w:rFonts w:ascii="Arial" w:hAnsi="Arial" w:eastAsia="Arial"/>
          <w:b/>
        </w:rPr>
        <w:t>Unser Zeichen: 224/26 K05</w:t>
      </w:r>
      <w:r>
        <w:rPr>
          <w:rFonts w:ascii="Arial" w:hAnsi="Arial" w:eastAsia="Arial"/>
        </w:rPr>
        <w:t xml:space="preserve"> · Entwurfsstand: 08.07.2026 — noch nicht eingereicht</w:t>
      </w:r>
    </w:p>
    <w:p>
      <w:pPr>
        <w:widowControl/>
        <w:jc w:val="left"/>
      </w:pPr>
      <w:r>
        <w:rPr>
          <w:rFonts w:ascii="Arial" w:hAnsi="Arial" w:eastAsia="Arial"/>
          <w:i/>
        </w:rPr>
        <w:t>Exporthinweis: Endfassung in Times New Roman, 11 pt, dezimale Gliederung.</w:t>
      </w:r>
    </w:p>
    <w:p>
      <w:pPr>
        <w:widowControl/>
      </w:pPr>
    </w:p>
    <w:p>
      <w:pPr>
        <w:widowControl/>
        <w:jc w:val="left"/>
      </w:pPr>
      <w:r>
        <w:rPr>
          <w:rFonts w:ascii="Arial" w:hAnsi="Arial" w:eastAsia="Arial"/>
        </w:rPr>
        <w:t>An das</w:t>
      </w:r>
    </w:p>
    <w:p>
      <w:pPr>
        <w:widowControl/>
        <w:jc w:val="left"/>
      </w:pPr>
      <w:r>
        <w:rPr>
          <w:rFonts w:ascii="Arial" w:hAnsi="Arial" w:eastAsia="Arial"/>
          <w:b/>
        </w:rPr>
        <w:t>Landgericht Lüneburg</w:t>
      </w:r>
    </w:p>
    <w:p>
      <w:pPr>
        <w:widowControl/>
        <w:jc w:val="left"/>
      </w:pPr>
      <w:r>
        <w:rPr>
          <w:rFonts w:ascii="Arial" w:hAnsi="Arial" w:eastAsia="Arial"/>
        </w:rPr>
        <w:t>— Zivilkammer —</w:t>
      </w:r>
    </w:p>
    <w:p>
      <w:pPr>
        <w:widowControl/>
        <w:jc w:val="left"/>
      </w:pPr>
      <w:r>
        <w:rPr>
          <w:rFonts w:ascii="Arial" w:hAnsi="Arial" w:eastAsia="Arial"/>
        </w:rPr>
        <w:t>Am Ochsenmarkt 3</w:t>
      </w:r>
    </w:p>
    <w:p>
      <w:pPr>
        <w:pStyle w:val="Heading1"/>
        <w:widowControl/>
        <w:jc w:val="left"/>
      </w:pPr>
      <w:r>
        <w:rPr>
          <w:rFonts w:ascii="Arial" w:hAnsi="Arial" w:eastAsia="Arial"/>
        </w:rPr>
        <w:t>21335 Lüneburg</w:t>
      </w:r>
    </w:p>
    <w:p>
      <w:pPr>
        <w:widowControl/>
        <w:jc w:val="left"/>
      </w:pPr>
      <w:r>
        <w:rPr>
          <w:rFonts w:ascii="Arial" w:hAnsi="Arial" w:eastAsia="Arial"/>
          <w:b/>
        </w:rPr>
        <w:t>Klage im Wege der Stufenklage</w:t>
      </w:r>
    </w:p>
    <w:p>
      <w:pPr>
        <w:widowControl/>
        <w:jc w:val="left"/>
      </w:pPr>
      <w:r>
        <w:rPr>
          <w:rFonts w:ascii="Arial" w:hAnsi="Arial" w:eastAsia="Arial"/>
        </w:rPr>
        <w:t>des Herrn Moritz Rieken, Tischlermeister, Feldstraße 27, 21335 Lüneburg,</w:t>
      </w:r>
    </w:p>
    <w:p>
      <w:pPr>
        <w:widowControl/>
        <w:jc w:val="left"/>
      </w:pPr>
      <w:r>
        <w:rPr>
          <w:rFonts w:ascii="Arial" w:hAnsi="Arial" w:eastAsia="Arial"/>
        </w:rPr>
        <w:t>— Kläger —</w:t>
      </w:r>
    </w:p>
    <w:p>
      <w:pPr>
        <w:widowControl/>
        <w:jc w:val="left"/>
      </w:pPr>
      <w:r>
        <w:rPr>
          <w:rFonts w:ascii="Arial" w:hAnsi="Arial" w:eastAsia="Arial"/>
        </w:rPr>
        <w:t>Prozessbevollmächtigte: Rechtsanwältin Dr. Svenja Kalkhorst, Kanzlei Kalkhorst &amp; Severin, Am Berge 12, 21335 Lüneburg,</w:t>
      </w:r>
    </w:p>
    <w:p>
      <w:pPr>
        <w:widowControl/>
        <w:jc w:val="left"/>
      </w:pPr>
      <w:r>
        <w:rPr>
          <w:rFonts w:ascii="Arial" w:hAnsi="Arial" w:eastAsia="Arial"/>
        </w:rPr>
        <w:t>gegen</w:t>
      </w:r>
    </w:p>
    <w:p>
      <w:pPr>
        <w:widowControl/>
        <w:jc w:val="left"/>
      </w:pPr>
      <w:r>
        <w:rPr>
          <w:rFonts w:ascii="Arial" w:hAnsi="Arial" w:eastAsia="Arial"/>
        </w:rPr>
        <w:t>Frau Alva Rieken, Dorfstraße 11, 21394 Kirchgellersen,</w:t>
      </w:r>
    </w:p>
    <w:p>
      <w:pPr>
        <w:widowControl/>
        <w:jc w:val="left"/>
      </w:pPr>
      <w:r>
        <w:rPr>
          <w:rFonts w:ascii="Arial" w:hAnsi="Arial" w:eastAsia="Arial"/>
        </w:rPr>
        <w:t>— Beklagte —</w:t>
      </w:r>
    </w:p>
    <w:p>
      <w:pPr>
        <w:widowControl/>
        <w:jc w:val="left"/>
      </w:pPr>
      <w:r>
        <w:rPr>
          <w:rFonts w:ascii="Arial" w:hAnsi="Arial" w:eastAsia="Arial"/>
        </w:rPr>
        <w:t>wegen: Auskunft, Wertermittlung und Pflichtteil; vorläufiger Streitwert: 150.000,00 EUR.</w:t>
      </w:r>
    </w:p>
    <w:p>
      <w:pPr>
        <w:widowControl/>
        <w:jc w:val="left"/>
      </w:pPr>
      <w:r>
        <w:rPr>
          <w:rFonts w:ascii="Arial" w:hAnsi="Arial" w:eastAsia="Arial"/>
        </w:rPr>
        <w:t>Namens und in Vollmacht des Klägers erhebe ich Klage und werde beantragen:</w:t>
      </w:r>
    </w:p>
    <w:p>
      <w:pPr>
        <w:pStyle w:val="Heading1"/>
        <w:widowControl/>
      </w:pPr>
      <w:r>
        <w:rPr>
          <w:rFonts w:ascii="Arial" w:hAnsi="Arial" w:eastAsia="Arial"/>
        </w:rPr>
        <w:t>1 Anträge erste Stufe</w:t>
      </w:r>
    </w:p>
    <w:p>
      <w:pPr>
        <w:pStyle w:val="Heading2"/>
        <w:widowControl/>
        <w:jc w:val="left"/>
      </w:pPr>
      <w:r>
        <w:rPr>
          <w:rFonts w:ascii="Arial" w:hAnsi="Arial" w:eastAsia="Arial"/>
        </w:rPr>
        <w:t>1.1 Die Beklagte wird verurteilt, dem Kläger Auskunft über den Bestand des Nachlasses des am 18.05.2026 verstorbenen Helmut Rieken, zuletzt wohnhaft Dorfstraße 11, 21394 Kirchgellersen, durch Vorlage eines geordneten Nachlassverzeichnisses zu erteilen, das sämtliche Aktiva und Passiva zum Todestag ausweist.</w:t>
      </w:r>
    </w:p>
    <w:p>
      <w:pPr>
        <w:pStyle w:val="Heading2"/>
        <w:widowControl/>
        <w:jc w:val="left"/>
      </w:pPr>
      <w:r>
        <w:rPr>
          <w:rFonts w:ascii="Arial" w:hAnsi="Arial" w:eastAsia="Arial"/>
        </w:rPr>
        <w:t>1.2 Die Beklagte wird verurteilt, dem Kläger Auskunft über sämtliche unentgeltlichen und teilentgeltlichen lebzeitigen Zuwendungen des Erblassers in den letzten zehn Jahren vor dem Erbfall sowie über sämtliche Zuwendungen an die Beklagte ohne zeitliche Begrenzung zu erteilen.</w:t>
      </w:r>
    </w:p>
    <w:p>
      <w:pPr>
        <w:pStyle w:val="Heading2"/>
        <w:widowControl/>
        <w:jc w:val="left"/>
      </w:pPr>
      <w:r>
        <w:rPr>
          <w:rFonts w:ascii="Arial" w:hAnsi="Arial" w:eastAsia="Arial"/>
        </w:rPr>
        <w:t>1.3 Die Beklagte wird verurteilt, den Wert des Resthofs Kirchgellersen (Grundbuch von Kirchgellersen Blatt 812) sowie der Grundstücke in Bardowick und Reppenstedt durch Vorlage eines Verkehrswertgutachtens eines unabhängigen Sachverständigen ermitteln zu lassen.</w:t>
      </w:r>
    </w:p>
    <w:p>
      <w:pPr>
        <w:pStyle w:val="Heading2"/>
        <w:widowControl/>
        <w:jc w:val="left"/>
      </w:pPr>
      <w:r>
        <w:rPr>
          <w:rFonts w:ascii="Arial" w:hAnsi="Arial" w:eastAsia="Arial"/>
        </w:rPr>
        <w:t>1.4 Die Beklagte wird verurteilt, Konto- und Depotauszüge des Erblassers für die letzten zehn Jahre vor dem Erbfall vorzulegen, soweit sie pflichtteilserhebliche Vorgänge betreffen.</w:t>
      </w:r>
    </w:p>
    <w:p>
      <w:pPr>
        <w:pStyle w:val="Heading1"/>
        <w:widowControl/>
      </w:pPr>
      <w:r>
        <w:rPr>
          <w:rFonts w:ascii="Arial" w:hAnsi="Arial" w:eastAsia="Arial"/>
        </w:rPr>
        <w:t>2 Anträge zweite und dritte Stufe</w:t>
      </w:r>
    </w:p>
    <w:p>
      <w:pPr>
        <w:pStyle w:val="Heading2"/>
        <w:widowControl/>
        <w:jc w:val="left"/>
      </w:pPr>
      <w:r>
        <w:rPr>
          <w:rFonts w:ascii="Arial" w:hAnsi="Arial" w:eastAsia="Arial"/>
        </w:rPr>
        <w:t>2.1 Erforderlichenfalls: Die Beklagte wird verurteilt, die Richtigkeit und Vollständigkeit ihrer Auskünfte an Eides statt zu versichern.</w:t>
      </w:r>
    </w:p>
    <w:p>
      <w:pPr>
        <w:pStyle w:val="Heading2"/>
        <w:widowControl/>
        <w:jc w:val="left"/>
      </w:pPr>
      <w:r>
        <w:rPr>
          <w:rFonts w:ascii="Arial" w:hAnsi="Arial" w:eastAsia="Arial"/>
        </w:rPr>
        <w:t>2.2 Die Beklagte wird verurteilt, an den Kläger einen nach Erteilung der Auskunft noch zu beziffernden Pflichtteils- und Pflichtteilsergänzungsbetrag nebst Zinsen in Höhe von fünf Prozentpunkten über dem Basiszinssatz seit Rechtshängigkeit zu zahlen.</w:t>
      </w:r>
    </w:p>
    <w:p>
      <w:pPr>
        <w:pStyle w:val="Heading1"/>
        <w:widowControl/>
      </w:pPr>
      <w:r>
        <w:rPr>
          <w:rFonts w:ascii="Arial" w:hAnsi="Arial" w:eastAsia="Arial"/>
        </w:rPr>
        <w:t>3 Begründung</w:t>
      </w:r>
    </w:p>
    <w:p>
      <w:pPr>
        <w:pStyle w:val="Heading2"/>
        <w:widowControl/>
        <w:jc w:val="left"/>
      </w:pPr>
      <w:r>
        <w:rPr>
          <w:rFonts w:ascii="Arial" w:hAnsi="Arial" w:eastAsia="Arial"/>
        </w:rPr>
        <w:t>3.1 Der Kläger ist neben der Beklagten eines von zwei Kindern des verwitweten Erblassers und durch das eigenhändige Testament vom 17.11.2022 von der Erbfolge ausgeschlossen. Er ist daher pflichtteilsberechtigt.</w:t>
      </w:r>
    </w:p>
    <w:p>
      <w:pPr>
        <w:pStyle w:val="Heading2"/>
        <w:widowControl/>
        <w:jc w:val="left"/>
      </w:pPr>
      <w:r>
        <w:rPr>
          <w:rFonts w:ascii="Arial" w:hAnsi="Arial" w:eastAsia="Arial"/>
        </w:rPr>
        <w:t>3.2 Die Beklagte ist testamentarische Alleinerbin. Ihre bisherigen Angaben zum Nachlass erschöpfen sich in einer Aufstellung ohne Belege, die mit einem behaupteten „Pflege- und Haushaltsausgleich" von 42.000,00 EUR endet und den Nachlass als „praktisch null" darstellt. Ein Nachlassverzeichnis wurde trotz Aufforderung vom 04.07.2026 mit Fristsetzung zum 25.07.2026 nicht vorgelegt.</w:t>
      </w:r>
    </w:p>
    <w:p>
      <w:pPr>
        <w:pStyle w:val="Heading2"/>
        <w:widowControl/>
        <w:jc w:val="left"/>
      </w:pPr>
      <w:r>
        <w:rPr>
          <w:rFonts w:ascii="Arial" w:hAnsi="Arial" w:eastAsia="Arial"/>
        </w:rPr>
        <w:t>3.3 Es bestehen konkrete Anhaltspunkte für pflichtteilserhebliche lebzeitige Zuwendungen: die Übertragung des Resthofs Kirchgellersen auf die Beklagte mit Vertrag vom 22.08.2019 unter Vorbehalt von Wohnungsrecht, Nutzungen und Rückforderungsrechten, die Übertragung eines Baugrundstücks in Bardowick am 14.04.2021, der Verkauf einer Teilfläche durch die Beklagte im Jahr 2023 für 228.000,00 EUR sowie ungeklärte Abflüsse aus dem Depot des Erblassers bei der NordBank in den Jahren 2024 und 2025, darunter eine Überweisung von 50.000,00 EUR an die Beklagte mit dem Verwendungszweck „Ausgleich Übergabe".</w:t>
      </w:r>
    </w:p>
    <w:p>
      <w:pPr>
        <w:pStyle w:val="Heading2"/>
        <w:widowControl/>
        <w:jc w:val="left"/>
      </w:pPr>
      <w:r>
        <w:rPr>
          <w:rFonts w:ascii="Arial" w:hAnsi="Arial" w:eastAsia="Arial"/>
        </w:rPr>
        <w:t>3.4 Beweis wird angetreten durch Vorlage des Testaments, des Übertragungsvertrags (UR-Nr. 811/2019 des Notars Dr. Wilkens, Lüneburg), der Unterlagen des NordBank-Nachlassservice vom 18.06.2026 sowie durch Zeugnis der Mitarbeiterin des Notariats, Frau Wiebke Martens.</w:t>
      </w:r>
    </w:p>
    <w:p>
      <w:pPr>
        <w:pStyle w:val="Heading2"/>
        <w:widowControl/>
        <w:jc w:val="left"/>
      </w:pPr>
      <w:r>
        <w:rPr>
          <w:rFonts w:ascii="Arial" w:hAnsi="Arial" w:eastAsia="Arial"/>
        </w:rPr>
        <w:t>3.5 Die genaue Bezifferung der Zahlungsstufe bleibt der Auskunft und Wertermittlung vorbehalten. Ob und in welcher Höhe die Zahlung von 35.000,00 EUR an den Kläger aus dem Jahr 2019 anzurechnen ist, wird nach Vorlage der Anrechnungsbestimmung zu klären sein; eine solche Bestimmung ist bislang nicht belegt.</w:t>
      </w:r>
    </w:p>
    <w:p>
      <w:pPr>
        <w:widowControl/>
        <w:jc w:val="left"/>
      </w:pPr>
      <w:r>
        <w:rPr>
          <w:rFonts w:ascii="Arial" w:hAnsi="Arial" w:eastAsia="Arial"/>
          <w:i/>
        </w:rPr>
        <w:t>Interner Bearbeitungshinweis: Vor Einreichung Grundbuchblatt Bardowick nachfordern und Zuständigkeit nach endgültigem Streitwert prüfen.</w:t>
      </w:r>
    </w:p>
    <w:p>
      <w:pPr>
        <w:pStyle w:val="Heading1"/>
        <w:widowControl/>
      </w:pPr>
      <w:r>
        <w:rPr>
          <w:rFonts w:ascii="Arial" w:hAnsi="Arial" w:eastAsia="Arial"/>
        </w:rPr>
        <w:t>6. Einreichungssperre und Belegliste</w:t>
      </w:r>
    </w:p>
    <w:p>
      <w:pPr>
        <w:keepLines w:val="0"/>
        <w:widowControl/>
      </w:pPr>
      <w:r>
        <w:rPr>
          <w:rFonts w:ascii="Arial" w:hAnsi="Arial" w:eastAsia="Arial"/>
        </w:rPr>
        <w:t>Der Entwurf ist nicht zur Einreichung freigegeben. Vorher sind Ablauf der außergerichtlichen Frist, Zuständigkeit, Antrag auf notarielles Nachlassverzeichnis, Wertstufen und Vorlageansprüche im Einzelnen zu prüfen. Kontoauszüge werden nicht pauschal, sondern bezogen auf nachvollziehbare Schenkungs- und Bestandsfragen beantragt.</w:t>
      </w:r>
    </w:p>
    <w:p>
      <w:pPr>
        <w:keepLines w:val="0"/>
        <w:widowControl/>
      </w:pPr>
      <w:r>
        <w:rPr>
          <w:rFonts w:ascii="Arial" w:hAnsi="Arial" w:eastAsia="Arial"/>
        </w:rPr>
        <w:t>Die Zahlungsstufe bleibt unbeziffert. Interne Wertbänder und streitige Anrechnung der Zahlung von 35000,00 EUR werden nicht als feststehende Tatsachen vorgetragen.</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blHeader w:val="true"/>
          <w:tblHeader w:val="true"/>
        </w:trPr>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Anlage</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Dokument</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3137"/>
            <w:vAlign w:val="center"/>
            <w:tcMar>
              <w:top w:w="90" w:type="dxa"/>
              <w:start w:w="100" w:type="dxa"/>
              <w:bottom w:w="90" w:type="dxa"/>
              <w:end w:w="100" w:type="dxa"/>
            </w:tcMar>
          </w:tcPr>
          <w:p>
            <w:pPr>
              <w:spacing w:after="30"/>
            </w:pPr>
            <w:r>
              <w:rPr>
                <w:rFonts w:ascii="Arial" w:hAnsi="Arial"/>
                <w:sz w:val="17"/>
              </w:rPr>
              <w:t>K 1</w:t>
            </w:r>
          </w:p>
        </w:tc>
        <w:tc>
          <w:tcPr>
            <w:tcW w:type="dxa" w:w="3137"/>
            <w:vAlign w:val="center"/>
            <w:tcMar>
              <w:top w:w="90" w:type="dxa"/>
              <w:start w:w="100" w:type="dxa"/>
              <w:bottom w:w="90" w:type="dxa"/>
              <w:end w:w="100" w:type="dxa"/>
            </w:tcMar>
          </w:tcPr>
          <w:p>
            <w:pPr>
              <w:spacing w:after="30"/>
            </w:pPr>
            <w:r>
              <w:rPr>
                <w:rFonts w:ascii="Arial" w:hAnsi="Arial"/>
                <w:sz w:val="17"/>
              </w:rPr>
              <w:t>Sterbeurkunde</w:t>
            </w:r>
          </w:p>
        </w:tc>
        <w:tc>
          <w:tcPr>
            <w:tcW w:type="dxa" w:w="3137"/>
            <w:vAlign w:val="center"/>
            <w:tcMar>
              <w:top w:w="90" w:type="dxa"/>
              <w:start w:w="100" w:type="dxa"/>
              <w:bottom w:w="90" w:type="dxa"/>
              <w:end w:w="100" w:type="dxa"/>
            </w:tcMar>
          </w:tcPr>
          <w:p>
            <w:pPr>
              <w:spacing w:after="30"/>
            </w:pPr>
            <w:r>
              <w:rPr>
                <w:rFonts w:ascii="Arial" w:hAnsi="Arial"/>
                <w:sz w:val="17"/>
              </w:rPr>
              <w:t>vorhanden</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K 2</w:t>
            </w:r>
          </w:p>
        </w:tc>
        <w:tc>
          <w:tcPr>
            <w:tcW w:type="dxa" w:w="3137"/>
            <w:vAlign w:val="center"/>
            <w:tcMar>
              <w:top w:w="90" w:type="dxa"/>
              <w:start w:w="100" w:type="dxa"/>
              <w:bottom w:w="90" w:type="dxa"/>
              <w:end w:w="100" w:type="dxa"/>
            </w:tcMar>
            <w:shd w:fill="F2F4F5"/>
          </w:tcPr>
          <w:p>
            <w:pPr>
              <w:spacing w:after="30"/>
            </w:pPr>
            <w:r>
              <w:rPr>
                <w:rFonts w:ascii="Arial" w:hAnsi="Arial"/>
                <w:sz w:val="17"/>
              </w:rPr>
              <w:t>Testament und Eröffnung</w:t>
            </w:r>
          </w:p>
        </w:tc>
        <w:tc>
          <w:tcPr>
            <w:tcW w:type="dxa" w:w="3137"/>
            <w:vAlign w:val="center"/>
            <w:tcMar>
              <w:top w:w="90" w:type="dxa"/>
              <w:start w:w="100" w:type="dxa"/>
              <w:bottom w:w="90" w:type="dxa"/>
              <w:end w:w="100" w:type="dxa"/>
            </w:tcMar>
            <w:shd w:fill="F2F4F5"/>
          </w:tcPr>
          <w:p>
            <w:pPr>
              <w:spacing w:after="30"/>
            </w:pPr>
            <w:r>
              <w:rPr>
                <w:rFonts w:ascii="Arial" w:hAnsi="Arial"/>
                <w:sz w:val="17"/>
              </w:rPr>
              <w:t>vorhanden</w:t>
            </w:r>
          </w:p>
        </w:tc>
      </w:tr>
      <w:tr>
        <w:tc>
          <w:tcPr>
            <w:tcW w:type="dxa" w:w="3137"/>
            <w:vAlign w:val="center"/>
            <w:tcMar>
              <w:top w:w="90" w:type="dxa"/>
              <w:start w:w="100" w:type="dxa"/>
              <w:bottom w:w="90" w:type="dxa"/>
              <w:end w:w="100" w:type="dxa"/>
            </w:tcMar>
          </w:tcPr>
          <w:p>
            <w:pPr>
              <w:spacing w:after="30"/>
            </w:pPr>
            <w:r>
              <w:rPr>
                <w:rFonts w:ascii="Arial" w:hAnsi="Arial"/>
                <w:sz w:val="17"/>
              </w:rPr>
              <w:t>K 3</w:t>
            </w:r>
          </w:p>
        </w:tc>
        <w:tc>
          <w:tcPr>
            <w:tcW w:type="dxa" w:w="3137"/>
            <w:vAlign w:val="center"/>
            <w:tcMar>
              <w:top w:w="90" w:type="dxa"/>
              <w:start w:w="100" w:type="dxa"/>
              <w:bottom w:w="90" w:type="dxa"/>
              <w:end w:w="100" w:type="dxa"/>
            </w:tcMar>
          </w:tcPr>
          <w:p>
            <w:pPr>
              <w:spacing w:after="30"/>
            </w:pPr>
            <w:r>
              <w:rPr>
                <w:rFonts w:ascii="Arial" w:hAnsi="Arial"/>
                <w:sz w:val="17"/>
              </w:rPr>
              <w:t>Auskunftsschreiben mit Zugang</w:t>
            </w:r>
          </w:p>
        </w:tc>
        <w:tc>
          <w:tcPr>
            <w:tcW w:type="dxa" w:w="3137"/>
            <w:vAlign w:val="center"/>
            <w:tcMar>
              <w:top w:w="90" w:type="dxa"/>
              <w:start w:w="100" w:type="dxa"/>
              <w:bottom w:w="90" w:type="dxa"/>
              <w:end w:w="100" w:type="dxa"/>
            </w:tcMar>
          </w:tcPr>
          <w:p>
            <w:pPr>
              <w:spacing w:after="30"/>
            </w:pPr>
            <w:r>
              <w:rPr>
                <w:rFonts w:ascii="Arial" w:hAnsi="Arial"/>
                <w:sz w:val="17"/>
              </w:rPr>
              <w:t>nach Fristablauf</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K 4</w:t>
            </w:r>
          </w:p>
        </w:tc>
        <w:tc>
          <w:tcPr>
            <w:tcW w:type="dxa" w:w="3137"/>
            <w:vAlign w:val="center"/>
            <w:tcMar>
              <w:top w:w="90" w:type="dxa"/>
              <w:start w:w="100" w:type="dxa"/>
              <w:bottom w:w="90" w:type="dxa"/>
              <w:end w:w="100" w:type="dxa"/>
            </w:tcMar>
            <w:shd w:fill="F2F4F5"/>
          </w:tcPr>
          <w:p>
            <w:pPr>
              <w:spacing w:after="30"/>
            </w:pPr>
            <w:r>
              <w:rPr>
                <w:rFonts w:ascii="Arial" w:hAnsi="Arial"/>
                <w:sz w:val="17"/>
              </w:rPr>
              <w:t>Übertragungsvertrag 811/2019</w:t>
            </w:r>
          </w:p>
        </w:tc>
        <w:tc>
          <w:tcPr>
            <w:tcW w:type="dxa" w:w="3137"/>
            <w:vAlign w:val="center"/>
            <w:tcMar>
              <w:top w:w="90" w:type="dxa"/>
              <w:start w:w="100" w:type="dxa"/>
              <w:bottom w:w="90" w:type="dxa"/>
              <w:end w:w="100" w:type="dxa"/>
            </w:tcMar>
            <w:shd w:fill="F2F4F5"/>
          </w:tcPr>
          <w:p>
            <w:pPr>
              <w:spacing w:after="30"/>
            </w:pPr>
            <w:r>
              <w:rPr>
                <w:rFonts w:ascii="Arial" w:hAnsi="Arial"/>
                <w:sz w:val="17"/>
              </w:rPr>
              <w:t>vollständig</w:t>
            </w:r>
          </w:p>
        </w:tc>
      </w:tr>
      <w:tr>
        <w:tc>
          <w:tcPr>
            <w:tcW w:type="dxa" w:w="3137"/>
            <w:vAlign w:val="center"/>
            <w:tcMar>
              <w:top w:w="90" w:type="dxa"/>
              <w:start w:w="100" w:type="dxa"/>
              <w:bottom w:w="90" w:type="dxa"/>
              <w:end w:w="100" w:type="dxa"/>
            </w:tcMar>
          </w:tcPr>
          <w:p>
            <w:pPr>
              <w:spacing w:after="30"/>
            </w:pPr>
            <w:r>
              <w:rPr>
                <w:rFonts w:ascii="Arial" w:hAnsi="Arial"/>
                <w:sz w:val="17"/>
              </w:rPr>
              <w:t>K 5</w:t>
            </w:r>
          </w:p>
        </w:tc>
        <w:tc>
          <w:tcPr>
            <w:tcW w:type="dxa" w:w="3137"/>
            <w:vAlign w:val="center"/>
            <w:tcMar>
              <w:top w:w="90" w:type="dxa"/>
              <w:start w:w="100" w:type="dxa"/>
              <w:bottom w:w="90" w:type="dxa"/>
              <w:end w:w="100" w:type="dxa"/>
            </w:tcMar>
          </w:tcPr>
          <w:p>
            <w:pPr>
              <w:spacing w:after="30"/>
            </w:pPr>
            <w:r>
              <w:rPr>
                <w:rFonts w:ascii="Arial" w:hAnsi="Arial"/>
                <w:sz w:val="17"/>
              </w:rPr>
              <w:t>Bankauskunft</w:t>
            </w:r>
          </w:p>
        </w:tc>
        <w:tc>
          <w:tcPr>
            <w:tcW w:type="dxa" w:w="3137"/>
            <w:vAlign w:val="center"/>
            <w:tcMar>
              <w:top w:w="90" w:type="dxa"/>
              <w:start w:w="100" w:type="dxa"/>
              <w:bottom w:w="90" w:type="dxa"/>
              <w:end w:w="100" w:type="dxa"/>
            </w:tcMar>
          </w:tcPr>
          <w:p>
            <w:pPr>
              <w:spacing w:after="30"/>
            </w:pPr>
            <w:r>
              <w:rPr>
                <w:rFonts w:ascii="Arial" w:hAnsi="Arial"/>
                <w:sz w:val="17"/>
              </w:rPr>
              <w:t>teilweise; Ergänzung angefordert</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