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Telefonnotiz zum Werkstattzuschuss</w:t>
      </w:r>
    </w:p>
    <w:tbl>
      <w:tblPr>
        <w:tblStyle w:val="TableGrid"/>
        <w:tblW w:type="auto" w:w="0"/>
        <w:jc w:val="center"/>
        <w:tblLayout w:type="autofit"/>
        <w:tblLook w:firstColumn="1" w:firstRow="1" w:lastColumn="0" w:lastRow="0" w:noHBand="0" w:noVBand="1" w:val="04A0"/>
      </w:tblPr>
      <w:tblGrid>
        <w:gridCol w:w="4872"/>
        <w:gridCol w:w="4872"/>
      </w:tblGrid>
      <w:tr>
        <w:trPr>
          <w:tblHeader w:val="true"/>
        </w:trPr>
        <w:tc>
          <w:tcPr>
            <w:tcW w:type="dxa" w:w="4872"/>
            <w:shd w:fill="17324D"/>
            <w:vAlign w:val="center"/>
            <w:tcMar>
              <w:top w:w="90" w:type="dxa"/>
              <w:start w:w="100" w:type="dxa"/>
              <w:bottom w:w="90" w:type="dxa"/>
              <w:end w:w="100" w:type="dxa"/>
            </w:tcMar>
          </w:tcPr>
          <w:p>
            <w:pPr>
              <w:spacing w:after="30"/>
            </w:pPr>
            <w:r>
              <w:rPr>
                <w:rFonts w:ascii="Arial" w:hAnsi="Arial"/>
                <w:b/>
                <w:color w:val="FFFFFF"/>
                <w:sz w:val="17"/>
              </w:rPr>
              <w:t>Anruf</w:t>
            </w:r>
          </w:p>
        </w:tc>
        <w:tc>
          <w:tcPr>
            <w:tcW w:type="dxa" w:w="4872"/>
            <w:vAlign w:val="center"/>
            <w:tcMar>
              <w:top w:w="90" w:type="dxa"/>
              <w:start w:w="100" w:type="dxa"/>
              <w:bottom w:w="90" w:type="dxa"/>
              <w:end w:w="100" w:type="dxa"/>
            </w:tcMar>
            <w:shd w:fill="17324D"/>
          </w:tcPr>
          <w:p>
            <w:pPr>
              <w:spacing w:after="30"/>
            </w:pPr>
            <w:r>
              <w:rPr>
                <w:rFonts w:ascii="Arial" w:hAnsi="Arial"/>
                <w:b/>
                <w:color w:val="FFFFFF"/>
                <w:sz w:val="17"/>
              </w:rPr>
              <w:t>08.07.2026, 11:47 bis 12:11 Uhr</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Anrufer</w:t>
            </w:r>
          </w:p>
        </w:tc>
        <w:tc>
          <w:tcPr>
            <w:tcW w:type="dxa" w:w="4872"/>
            <w:vAlign w:val="center"/>
            <w:tcMar>
              <w:top w:w="90" w:type="dxa"/>
              <w:start w:w="100" w:type="dxa"/>
              <w:bottom w:w="90" w:type="dxa"/>
              <w:end w:w="100" w:type="dxa"/>
            </w:tcMar>
          </w:tcPr>
          <w:p>
            <w:pPr>
              <w:spacing w:after="30"/>
            </w:pPr>
            <w:r>
              <w:rPr>
                <w:rFonts w:ascii="Arial" w:hAnsi="Arial"/>
                <w:sz w:val="17"/>
              </w:rPr>
              <w:t>Moritz Rieken, aus dem Lieferwagen vor einer Baustelle</w:t>
            </w:r>
          </w:p>
        </w:tc>
      </w:tr>
      <w:tr>
        <w:tc>
          <w:tcPr>
            <w:tcW w:type="dxa" w:w="4872"/>
            <w:shd w:fill="F2F4F5"/>
            <w:vAlign w:val="center"/>
            <w:tcMar>
              <w:top w:w="90" w:type="dxa"/>
              <w:start w:w="100" w:type="dxa"/>
              <w:bottom w:w="90" w:type="dxa"/>
              <w:end w:w="100" w:type="dxa"/>
            </w:tcMar>
          </w:tcPr>
          <w:p>
            <w:pPr>
              <w:spacing w:after="30"/>
            </w:pPr>
            <w:r>
              <w:rPr>
                <w:rFonts w:ascii="Arial" w:hAnsi="Arial"/>
                <w:b/>
                <w:color w:val="17324D"/>
                <w:sz w:val="17"/>
              </w:rPr>
              <w:t>Aufgenommen</w:t>
            </w:r>
          </w:p>
        </w:tc>
        <w:tc>
          <w:tcPr>
            <w:tcW w:type="dxa" w:w="4872"/>
            <w:vAlign w:val="center"/>
            <w:tcMar>
              <w:top w:w="90" w:type="dxa"/>
              <w:start w:w="100" w:type="dxa"/>
              <w:bottom w:w="90" w:type="dxa"/>
              <w:end w:w="100" w:type="dxa"/>
            </w:tcMar>
            <w:shd w:fill="F2F4F5"/>
          </w:tcPr>
          <w:p>
            <w:pPr>
              <w:spacing w:after="30"/>
            </w:pPr>
            <w:r>
              <w:rPr>
                <w:rFonts w:ascii="Arial" w:hAnsi="Arial"/>
                <w:sz w:val="17"/>
              </w:rPr>
              <w:t>Bärbel Timm</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Rückruf</w:t>
            </w:r>
          </w:p>
        </w:tc>
        <w:tc>
          <w:tcPr>
            <w:tcW w:type="dxa" w:w="4872"/>
            <w:vAlign w:val="center"/>
            <w:tcMar>
              <w:top w:w="90" w:type="dxa"/>
              <w:start w:w="100" w:type="dxa"/>
              <w:bottom w:w="90" w:type="dxa"/>
              <w:end w:w="100" w:type="dxa"/>
            </w:tcMar>
          </w:tcPr>
          <w:p>
            <w:pPr>
              <w:spacing w:after="30"/>
            </w:pPr>
            <w:r>
              <w:rPr>
                <w:rFonts w:ascii="Arial" w:hAnsi="Arial"/>
                <w:sz w:val="17"/>
              </w:rPr>
              <w:t>Dr. Kalkhorst 08.07.2026, 17:05 Uhr</w:t>
            </w:r>
          </w:p>
        </w:tc>
      </w:tr>
    </w:tbl>
    <w:p/>
    <w:p>
      <w:pPr>
        <w:pStyle w:val="Heading1"/>
      </w:pPr>
      <w:r>
        <w:t>1. Neue Erinnerung</w:t>
      </w:r>
    </w:p>
    <w:p>
      <w:pPr>
        <w:keepLines w:val="0"/>
      </w:pPr>
      <w:r>
        <w:t>Moritz erinnerte sich an den 14.06.2019: Sein Vater kam gegen 07:30 Uhr in die Tischlerei, während Geselle Jan Feddersen eine Hobelmaschine einrichtete. Helmut sagte nach Moritz' Erinnerung, das Geld sei für den Werkstattumbau und solle helfen, den Kredit klein zu halten. Über Pflichtteil, Hofverzicht oder spätere Erbansprüche sei nicht gesprochen worden.</w:t>
      </w:r>
    </w:p>
    <w:p>
      <w:pPr>
        <w:keepLines w:val="0"/>
      </w:pPr>
      <w:r>
        <w:t>Der Mandant fand im Bauordner eine Rechnung der Lüneburger Maschinenhandel GmbH über 28740,00 EUR und eine Elektrikerrechnung über 9118,60 EUR. Die Zahlung von 35000,00 EUR wurde für beide Positionen verwendet. Kopien werden am Abend in den Kanzleibriefkasten eingeworfen.</w:t>
      </w:r>
    </w:p>
    <w:p>
      <w:pPr>
        <w:pStyle w:val="Heading1"/>
      </w:pPr>
      <w:r>
        <w:t>2. Zeuge</w:t>
      </w:r>
    </w:p>
    <w:p>
      <w:pPr>
        <w:keepLines w:val="0"/>
      </w:pPr>
      <w:r>
        <w:t>Jan Feddersen arbeitet inzwischen in Winsen. Moritz hat noch seine Mobilnummer, soll ihn aber nicht zum Inhalt des Gesprächs instruieren. Die Kanzlei wird nach Freigabe um eine eigene, datierte Gedächtnisnotiz bitten.</w:t>
      </w:r>
    </w:p>
    <w:p>
      <w:pPr>
        <w:pStyle w:val="Heading1"/>
      </w:pPr>
      <w:r>
        <w:t>3. Verfügung</w:t>
      </w:r>
    </w:p>
    <w:p>
      <w:pPr>
        <w:keepLines w:val="0"/>
      </w:pPr>
      <w:r>
        <w:t>Posteingang 09.07.2026 kontrollieren. Rechnungen mit Kontoauszug abgleichen. Kein Ergebnis zur Anrechnung in der Mandantenkommunikation vorwegnehmen. Wiedervorlage Dr. Kalkhorst 10.07.2026, 09:30 Uhr.</w:t>
      </w:r>
    </w:p>
    <w:sectPr w:rsidR="00FC693F" w:rsidRPr="0006063C" w:rsidSect="00034616">
      <w:headerReference w:type="default" r:id="rId9"/>
      <w:footerReference w:type="default" r:id="rId10"/>
      <w:pgSz w:w="12240" w:h="15840"/>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Dr. Svenja Kalkhorst, Rechtsanwältin und Fachanwältin für Erbrecht | Anderkonto DE73 2405 0110 0019 8850 04 | BIC NOLADE21LBG | St.-Nr. 33/219/07162 | Berufshaftpflicht: JurAssekuranz AG, Hannover</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Kalkhorst &amp; Severin Rechtsanwälte</w:t>
          </w:r>
        </w:p>
        <w:p>
          <w:pPr>
            <w:spacing w:after="0"/>
          </w:pPr>
          <w:r>
            <w:rPr>
              <w:color w:val="6B7378"/>
              <w:sz w:val="15"/>
            </w:rPr>
            <w:t>Erbrecht und Agrarvermögen | Am Berge 12 | 21335 Lüneburg</w:t>
          </w:r>
        </w:p>
      </w:tc>
      <w:tc>
        <w:tcPr>
          <w:tcW w:type="dxa" w:w="4706"/>
        </w:tcPr>
        <w:p>
          <w:pPr>
            <w:spacing w:after="20"/>
            <w:jc w:val="right"/>
          </w:pPr>
          <w:r>
            <w:rPr>
              <w:b/>
              <w:color w:val="17324D"/>
              <w:sz w:val="18"/>
            </w:rPr>
            <w:t>Nachlass Rieken</w:t>
          </w:r>
        </w:p>
        <w:p>
          <w:pPr>
            <w:spacing w:after="0"/>
            <w:jc w:val="right"/>
          </w:pPr>
          <w:r>
            <w:rPr>
              <w:color w:val="6B7378"/>
              <w:sz w:val="15"/>
            </w:rPr>
            <w:t>Aktenzeichen 224/26 K05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Kalkhorst &amp; Severin Rechtsanwälte</dc:creator>
  <cp:keywords/>
  <dc:description>generated by python-docx</dc:description>
  <cp:lastModifiedBy>Kalkhorst &amp; Severin Rechtsanwälte</cp:lastModifiedBy>
  <cp:revision>1</cp:revision>
  <dcterms:created xsi:type="dcterms:W3CDTF">2026-07-15T12:00:00Z</dcterms:created>
  <dcterms:modified xsi:type="dcterms:W3CDTF">2026-07-15T12:00:00Z</dcterms:modified>
  <cp:category/>
</cp:coreProperties>
</file>