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Fristenkalender und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15.07.2026, 16:55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Kalender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Bärbel Timm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Vier-Augen-Kontrolle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Svenja Kalkhorst</w:t>
            </w:r>
          </w:p>
        </w:tc>
      </w:tr>
    </w:tbl>
    <w:p/>
    <w:p>
      <w:pPr>
        <w:pStyle w:val="Heading1"/>
      </w:pPr>
      <w:r>
        <w:t>1. Fristen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Vorfrist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20.07.2026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Vorfrist Auskunft Alva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Kalkhorst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Unterlagenbestand prüfen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25.07.2026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Auskunftsfrist Alva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20.07.2026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Gegenseite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Zugang 06.07.2026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Angebot Sachverständiger Hof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27.07.2026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Büro Nordwert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angefragt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07.08.2026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Bankfreigabe Archivunterlagen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03.08.2026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NordBank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Teilfreigabe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Wiedervorlage gerichtliches Vorgehen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13.08.2026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Kalkhorst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nach Belegauswertung</w:t>
            </w:r>
          </w:p>
        </w:tc>
      </w:tr>
    </w:tbl>
    <w:p>
      <w:pPr>
        <w:pStyle w:val="Heading1"/>
      </w:pPr>
      <w:r>
        <w:t>2.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Kanal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Nachweis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04.07.2026, 11:36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Alva Rieken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Auskunftsverlangen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Einwurf-Einschreiben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RR 552 118 407 DE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04.07.2026, 11:42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RAin Ohlendorf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Auskunftsverlangen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11:45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09.07.2026, 15:18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Jan Feddersen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Bitte um Gedächtnisnotiz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Brief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Postausgangsbuch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11.07.2026, 09:22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Nordwert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Anfrage Hofbewertung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Empfang bestätigt</w:t>
            </w:r>
          </w:p>
        </w:tc>
      </w:tr>
    </w:tbl>
    <w:p>
      <w:pPr>
        <w:pStyle w:val="Heading1"/>
      </w:pPr>
      <w:r>
        <w:t>3. Kalendervermerk</w:t>
      </w:r>
    </w:p>
    <w:p>
      <w:pPr>
        <w:keepLines w:val="0"/>
      </w:pPr>
      <w:r>
        <w:t>Die Frist 25.07.2026 ist eine gesetzte, keine gesetzliche Ausschlussfrist. Verjährungsfragen werden in einem getrennten Blatt geführt. Zugang und Vorfrist sind belegt; eine Klageeinreichung erfolgt nicht automatisch am Folgetag.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Svenja Kalkhorst, Rechtsanwältin und Fachanwältin für Erbrecht | Anderkonto DE73 2405 0110 0019 8850 04 | BIC NOLADE21LBG | St.-Nr. 33/219/07162 | Berufshaftpflicht: JurAssekuranz AG, Hannover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Kalkhorst &amp; Severin Rechtsanwälte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Agrarvermögen | Am Berge 12 | 21335 Lüneburg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Rieken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224/26 K05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Kalkhorst &amp; Severin Rechtsanwälte</dc:creator>
  <cp:keywords/>
  <dc:description>generated by python-docx</dc:description>
  <cp:lastModifiedBy>Kalkhorst &amp; Severin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